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2.jpg" ContentType="image/jpeg"/>
  <Override PartName="/word/media/rId55.jpg" ContentType="image/jpeg"/>
  <Override PartName="/word/media/rId59.jpg" ContentType="image/jpeg"/>
  <Override PartName="/word/media/rId56.jpg" ContentType="image/jpeg"/>
  <Override PartName="/word/media/rId60.jpg" ContentType="image/jpeg"/>
  <Override PartName="/word/media/rId61.jpg" ContentType="image/jpeg"/>
  <Override PartName="/word/media/rId57.jpg" ContentType="image/jpeg"/>
  <Override PartName="/word/media/rId58.jpg" ContentType="image/jpeg"/>
  <Override PartName="/word/media/rId6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1">
        <w:r>
          <w:rPr>
            <w:rStyle w:val="Hyperlink"/>
          </w:rPr>
          <w:t xml:space="preserve">mburke@tbep.org</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2">
        <w:r>
          <w:rPr>
            <w:rStyle w:val="Hyperlink"/>
          </w:rPr>
          <w:t xml:space="preserve">edontis@co.pinellas.fl.us</w:t>
        </w:r>
      </w:hyperlink>
      <w:r>
        <w:t xml:space="preserve">),</w:t>
      </w:r>
      <w:r>
        <w:t xml:space="preserve"> </w:t>
      </w:r>
      <w:r>
        <w:t xml:space="preserve">Jessica</w:t>
      </w:r>
      <w:r>
        <w:t xml:space="preserve"> </w:t>
      </w:r>
      <w:r>
        <w:t xml:space="preserve">Lewis</w:t>
      </w:r>
      <w:r>
        <w:t xml:space="preserve"> </w:t>
      </w:r>
      <w:r>
        <w:t xml:space="preserve">(</w:t>
      </w:r>
      <w:hyperlink r:id="rId23">
        <w:r>
          <w:rPr>
            <w:rStyle w:val="Hyperlink"/>
          </w:rPr>
          <w:t xml:space="preserve">jlewis@tbep.org</w:t>
        </w:r>
      </w:hyperlink>
      <w:r>
        <w:t xml:space="preserve">),</w:t>
      </w:r>
      <w:r>
        <w:t xml:space="preserve"> </w:t>
      </w:r>
      <w:r>
        <w:t xml:space="preserve">Miles</w:t>
      </w:r>
      <w:r>
        <w:t xml:space="preserve"> </w:t>
      </w:r>
      <w:r>
        <w:t xml:space="preserve">Medina</w:t>
      </w:r>
      <w:r>
        <w:t xml:space="preserve"> </w:t>
      </w:r>
      <w:r>
        <w:t xml:space="preserve">(</w:t>
      </w:r>
      <w:hyperlink r:id="rId24">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25">
        <w:r>
          <w:rPr>
            <w:rStyle w:val="Hyperlink"/>
          </w:rPr>
          <w:t xml:space="preserve">elise.morrison@essie.ufl.edu</w:t>
        </w:r>
      </w:hyperlink>
      <w:r>
        <w:t xml:space="preserve">),</w:t>
      </w:r>
      <w:r>
        <w:t xml:space="preserve"> </w:t>
      </w:r>
      <w:r>
        <w:t xml:space="preserve">Mark</w:t>
      </w:r>
      <w:r>
        <w:t xml:space="preserve"> </w:t>
      </w:r>
      <w:r>
        <w:t xml:space="preserve">Rains</w:t>
      </w:r>
      <w:r>
        <w:t xml:space="preserve"> </w:t>
      </w:r>
      <w:r>
        <w:t xml:space="preserve">(</w:t>
      </w:r>
      <w:hyperlink r:id="rId26">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27">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28">
        <w:r>
          <w:rPr>
            <w:rStyle w:val="Hyperlink"/>
          </w:rPr>
          <w:t xml:space="preserve">sscolar@tbep.org</w:t>
        </w:r>
      </w:hyperlink>
      <w:r>
        <w:t xml:space="preserve">),</w:t>
      </w:r>
      <w:r>
        <w:t xml:space="preserve"> </w:t>
      </w:r>
      <w:r>
        <w:t xml:space="preserve">Ed</w:t>
      </w:r>
      <w:r>
        <w:t xml:space="preserve"> </w:t>
      </w:r>
      <w:r>
        <w:t xml:space="preserve">T.</w:t>
      </w:r>
      <w:r>
        <w:t xml:space="preserve"> </w:t>
      </w:r>
      <w:r>
        <w:t xml:space="preserve">Sherwood</w:t>
      </w:r>
      <w:r>
        <w:t xml:space="preserve"> </w:t>
      </w:r>
      <w:r>
        <w:t xml:space="preserve">(</w:t>
      </w:r>
      <w:hyperlink r:id="rId29">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0">
        <w:r>
          <w:rPr>
            <w:rStyle w:val="Hyperlink"/>
          </w:rPr>
          <w:t xml:space="preserve">dave@sarasotabay.org</w:t>
        </w:r>
      </w:hyperlink>
      <w:r>
        <w:t xml:space="preserve">),</w:t>
      </w:r>
      <w:r>
        <w:t xml:space="preserve"> </w:t>
      </w:r>
      <w:r>
        <w:t xml:space="preserve">Joe</w:t>
      </w:r>
      <w:r>
        <w:t xml:space="preserve"> </w:t>
      </w:r>
      <w:r>
        <w:t xml:space="preserve">Whalen</w:t>
      </w:r>
      <w:r>
        <w:t xml:space="preserve"> </w:t>
      </w:r>
      <w:r>
        <w:t xml:space="preserve">(</w:t>
      </w:r>
      <w:hyperlink r:id="rId31">
        <w:r>
          <w:rPr>
            <w:rStyle w:val="Hyperlink"/>
          </w:rPr>
          <w:t xml:space="preserve">jwhalen@tbep.org</w:t>
        </w:r>
      </w:hyperlink>
      <w:r>
        <w:t xml:space="preserve">)</w:t>
      </w:r>
    </w:p>
    <w:p>
      <w:pPr>
        <w:pStyle w:val="FirstParagraph"/>
      </w:pPr>
      <w:r>
        <w:t xml:space="preserve">Last manuscript build 2021-08-29 14:49:44</w:t>
      </w:r>
    </w:p>
    <w:bookmarkStart w:id="3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was observed in samples closest to the discharge site, with chlorophyll concentrations exceeding 50 ug/L. Macroalgae blooms of cyanobacteria (</w:t>
      </w:r>
      <w:r>
        <w:rPr>
          <w:iCs/>
          <w:i/>
        </w:rPr>
        <w:t xml:space="preserve">Lyngbya</w:t>
      </w:r>
      <w:r>
        <w:t xml:space="preserve"> </w:t>
      </w:r>
      <w:r>
        <w:t xml:space="preserve">spp.) were observed beginning in May, with biomass estimated at 0.5 kg/m2 at some locations. Though present south of Tampa Bay prior to the event,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nitrogen, phosphate mining, Tampa Bay, wastewater, water quality</w:t>
      </w:r>
    </w:p>
    <w:bookmarkEnd w:id="32"/>
    <w:bookmarkStart w:id="3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g">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estuary in Florida located in a heavily urbanized watershed of nearly 3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historical gains in environmental recovery. While point-source inputs of nutrient loads from wastewater treatment plants and industrial sources into Tampa Bay have been much reduced, non-point source loads from wastewater sources and stormwater runoff are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Many of these challenges are addressed by ongoing efforts of the US EPA National Estuary Program through implementation of a science-based resource management plan for the Bay</w:t>
      </w:r>
      <w:r>
        <w:t xml:space="preserve"> </w:t>
      </w:r>
      <w:r>
        <w:t xml:space="preserve">(</w:t>
      </w:r>
      <w:hyperlink w:anchor="ref-Ohara17">
        <w:r>
          <w:rPr>
            <w:rStyle w:val="Hyperlink"/>
          </w:rPr>
          <w:t xml:space="preserve">N. O’Hara, Shafer Consulting, Inc., 2017</w:t>
        </w:r>
      </w:hyperlink>
      <w:r>
        <w:t xml:space="preserve">)</w:t>
      </w:r>
      <w:r>
        <w:t xml:space="preserve">. The Tampa Bay Estuary Program and its partners has been instrumental in coordinating efforts among local and regional stakeholders to address legacy pollutants and current threats to the long-term protection of bay resources</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 worldwide</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33">
        <w:r>
          <w:rPr>
            <w:rStyle w:val="Hyperlink"/>
          </w:rPr>
          <w:t xml:space="preserve">Florida Department of Environmental Protection</w:t>
        </w:r>
      </w:hyperlink>
      <w:r>
        <w:t xml:space="preserve">) exist in the Tampa Bay watershed with no comprehensive, long-term plan for closure or disposal of waste to prevent unforeseen impacts to the environment. The Piney Point facility located in Palmetto, Florida is a large, remnant phosphogypsum stack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with oversight by the Florida Departmental of Environmental Protection (FDEP). Decreasing holding capacity of the ponds with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Recently, FDEP authorized an</w:t>
      </w:r>
      <w:r>
        <w:t xml:space="preserve"> </w:t>
      </w:r>
      <w:hyperlink r:id="rId34">
        <w:r>
          <w:rPr>
            <w:rStyle w:val="Hyperlink"/>
          </w:rPr>
          <w:t xml:space="preserve">emergency order</w:t>
        </w:r>
      </w:hyperlink>
      <w:r>
        <w:t xml:space="preserve"> </w:t>
      </w:r>
      <w:r>
        <w:t xml:space="preserve">on March 30th, 2021 to release wastewater from the stacks directly into lower Tampa Bay to prevent catastrophic failure of the berms supporting the holding ponds. At that time, approximately 480 million gallons of legacy phosphate mining wastewater was being held in the failing stack.</w:t>
      </w:r>
    </w:p>
    <w:p>
      <w:pPr>
        <w:pStyle w:val="BodyText"/>
      </w:pPr>
      <w:r>
        <w:t xml:space="preserve">This paper provides an initial assessment of environmental conditions in Tampa Bay over five months following the recent release of 215 million gallons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We focus primarily on the perspective of the Tampa Bay Estuary Program in its role in coordinating monitoring and evaluating short-term impacts, particularly in the context of long-term management goals that leverage resources from existing partnerships among local resource management institutions.</w:t>
      </w:r>
    </w:p>
    <w:bookmarkEnd w:id="35"/>
    <w:bookmarkStart w:id="45" w:name="methods"/>
    <w:p>
      <w:pPr>
        <w:pStyle w:val="Heading1"/>
      </w:pPr>
      <w:r>
        <w:t xml:space="preserve">Methods</w:t>
      </w:r>
    </w:p>
    <w:bookmarkStart w:id="3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an increase in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was observed as a potential indication of nutrient eutrophication. Around the same time, 248 million gallons of wastewater from Piney Point were barged 120 miles offshore to the Gulf of Mexico to reduce strain on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Holdings, LLC (hereafter, 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gypsumstack holding pond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p>
      <w:pPr>
        <w:pStyle w:val="BodyText"/>
      </w:pPr>
      <w:r>
        <w:t xml:space="preserve">Legacy wastewater discharges from Piney Point did not occur again until 2021, although onsite stormwater management and discharges have occurred throughout its history. Leakages from a tear in the plastic liner of the southern holding pond (NGS-S) were suspected when water quality samples with a similar conductivity as the wastewater were detected at onsite seepage interceptor drains. The NGS-S holding pond held 480 million gallons of wastewater, as a mixture of remnant process water from phosphate production and seawater from port dredging operations.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3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wastewater through siphon lines established during dredging operations in 2011 and that discharged at Berth 12 in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3a10">
        <w:r>
          <w:rPr>
            <w:rStyle w:val="Hyperlink"/>
          </w:rPr>
          <w:t xml:space="preserve">Tampa Bay Nitrogen Management Consortium, 2010</w:t>
        </w:r>
      </w:hyperlink>
      <w:r>
        <w:t xml:space="preserve">)</w:t>
      </w:r>
      <w:r>
        <w:t xml:space="preserve">.</w:t>
      </w:r>
    </w:p>
    <w:bookmarkEnd w:id="36"/>
    <w:bookmarkStart w:id="4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which included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samples for contaminants (e.g., heavy metals), benthic sediment, and nekton surveys were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3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E.T. Sherwood, G. Raulerson, M. Beck, M. Burke, 2020</w:t>
        </w:r>
      </w:hyperlink>
      <w:r>
        <w:t xml:space="preserve">)</w:t>
      </w:r>
      <w:r>
        <w:t xml:space="preserve">. Many of the local partners also participate in the Southwest Florida</w:t>
      </w:r>
      <w:r>
        <w:t xml:space="preserve"> </w:t>
      </w:r>
      <w:hyperlink r:id="rId3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nutrient management paradigm for the bay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orhophosphate (PO</w:t>
      </w:r>
      <m:oMath>
        <m:sSubSup>
          <m:e>
            <m:r>
              <m:t>​</m:t>
            </m:r>
          </m:e>
          <m:sub>
            <m:r>
              <m:t>4</m:t>
            </m:r>
          </m:sub>
          <m:sup>
            <m:r>
              <m:t>3</m:t>
            </m:r>
            <m:r>
              <m:rPr>
                <m:sty m:val="p"/>
              </m:rPr>
              <m:t>−</m:t>
            </m:r>
          </m:sup>
        </m:sSubSup>
      </m:oMath>
      <w:r>
        <w:t xml:space="preserve">), and chlorophyll-a (ug/L) concentrations. Samples for pH, salinity (psu), temperature (C), and dissolved oxygen saturation (%) are also evaluated given the role these parameters can have as indicators of wastewater contamination (pH), physical drivers of primary production (salinity, temperature), and indicators of primary production and respiration (dissolved oxygen).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of the discharge relative to Piney Point.</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and</w:t>
      </w:r>
      <w:r>
        <w:t xml:space="preserve"> </w:t>
      </w:r>
      <w:r>
        <w:rPr>
          <w:iCs/>
          <w:i/>
        </w:rPr>
        <w:t xml:space="preserve">Pyrodinium bahamense</w:t>
      </w:r>
      <w:r>
        <w:t xml:space="preserve"> </w:t>
      </w:r>
      <w:r>
        <w:t xml:space="preserve">that can occur in the bay depending on salinity and temperature conditions during the growing season. Occurrence of both these species has historically been spatially distinct, with</w:t>
      </w:r>
      <w:r>
        <w:t xml:space="preserve"> </w:t>
      </w:r>
      <w:r>
        <w:rPr>
          <w:iCs/>
          <w:i/>
        </w:rPr>
        <w:t xml:space="preserve">K. brevis</w:t>
      </w:r>
      <w:r>
        <w:t xml:space="preserve"> </w:t>
      </w:r>
      <w:r>
        <w:t xml:space="preserve">originating in the Gulf of Mexico and occurring in higher salinity portions of the bay, whereas</w:t>
      </w:r>
      <w:r>
        <w:t xml:space="preserve"> </w:t>
      </w:r>
      <w:r>
        <w:rPr>
          <w:iCs/>
          <w:i/>
        </w:rPr>
        <w:t xml:space="preserve">P. bahamense</w:t>
      </w:r>
      <w:r>
        <w:t xml:space="preserve"> </w:t>
      </w:r>
      <w:r>
        <w:t xml:space="preserve">has been observed consistently each year since 2008 in Old Tampa Bay (northwest segment) during the summer.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39">
        <w:r>
          <w:rPr>
            <w:rStyle w:val="Hyperlink"/>
          </w:rPr>
          <w:t xml:space="preserve">HABSOS</w:t>
        </w:r>
      </w:hyperlink>
      <w:r>
        <w:t xml:space="preserve">). Because of the increased occurrence of red tide samples in July following the emergency discharge, fish kill reports from FWC were also evaluated in relation to key municipalities (Tampa, St. Petersberg) impacted by the event. Fish kill reports were obtained from the FWC</w:t>
      </w:r>
      <w:r>
        <w:t xml:space="preserve"> </w:t>
      </w:r>
      <w:hyperlink r:id="rId4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starting in April. Each year, the TBEP coordinates inter-agency sampling among regional partners at over sixty fixed locations throughout the bay.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a fifty meter transect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50 cm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41"/>
    <w:bookmarkStart w:id="43" w:name="long-term-monitoring-data"/>
    <w:p>
      <w:pPr>
        <w:pStyle w:val="Heading2"/>
      </w:pPr>
      <w:r>
        <w:t xml:space="preserve">Long-term monitoring data</w:t>
      </w:r>
    </w:p>
    <w:p>
      <w:pPr>
        <w:pStyle w:val="FirstParagraph"/>
      </w:pPr>
      <w:r>
        <w:t xml:space="preserve">Water quality data in Tampa Bay have been collected at fixed sampling sites since 1974 by the Environmental Protection Commission of Hillsborough County. These data include samples at 45 stations used by the TBEP to assess annual progress towards programmatic goals and regulatory thresholds applicable for each of the major segments in Tampa Bay. Discrete water samples are collected monthly at mid-depth and processed in the laboratory immediately after collection. Similarly, the Parks and Natural Resources Department of Manatee County have been collecting data in Tampa Bay at locations south of Piney Point and south of the main dredged channel of Tampa Bay (approximate longitudinal axis of the bay). The sampling design is similar to the EPC data, with the exception that sites are sampled approximately every three months but at a higher spatial density per unit area. Additionally, the period of record for monitoring data from Manatee County began in 1996. Long-term monitoring stations for Hillsborough and Manatee Counties are shown in Figure</w:t>
      </w:r>
      <w:r>
        <w:t xml:space="preserve"> </w:t>
      </w:r>
      <w:r>
        <w:t xml:space="preserve">1</w:t>
      </w:r>
      <w:r>
        <w:t xml:space="preserve">a.</w:t>
      </w:r>
    </w:p>
    <w:p>
      <w:pPr>
        <w:pStyle w:val="BodyText"/>
      </w:pPr>
      <w:r>
        <w:t xml:space="preserve">Long-term water quality monitoring data from Hillsborough and Manatee counties were used to establish baseline conditions for the major areas of interest in Figure</w:t>
      </w:r>
      <w:r>
        <w:t xml:space="preserve"> </w:t>
      </w:r>
      <w:r>
        <w:t xml:space="preserve">1</w:t>
      </w:r>
      <w:r>
        <w:t xml:space="preserve">a to compare with the response monitoring data described above. Station data from Hillsborough County were obtained for the middle and lower segments of Tampa Bay. Station data from Manatee County were obtained for areas in lower Tampa Bay, Terra Ceia Bay, Anna Maria Sound, and northern Sarasota Bay. For the same water quality parameters noted above (i.e., nitrogen, phosphorus, pH, temperature, salinity),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concentrations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August). Spatial matching of each response monitoring station relative to the long-term monitoring stations was accomplished using the</w:t>
      </w:r>
      <w:r>
        <w:t xml:space="preserve"> </w:t>
      </w:r>
      <w:r>
        <w:t xml:space="preserve">“</w:t>
      </w:r>
      <w:r>
        <w:t xml:space="preserve">st_nearest_feature()</w:t>
      </w:r>
      <w:r>
        <w:t xml:space="preserve">”</w:t>
      </w:r>
      <w:r>
        <w:t xml:space="preserve"> </w:t>
      </w:r>
      <w:r>
        <w:t xml:space="preserve">function from the sf R package</w:t>
      </w:r>
      <w:r>
        <w:t xml:space="preserve"> </w:t>
      </w:r>
      <w:r>
        <w:t xml:space="preserve">(</w:t>
      </w:r>
      <w:hyperlink w:anchor="ref-Pebesma18">
        <w:r>
          <w:rPr>
            <w:rStyle w:val="Hyperlink"/>
          </w:rPr>
          <w:t xml:space="preserve">Pebesma, 2018</w:t>
        </w:r>
      </w:hyperlink>
      <w:r>
        <w:t xml:space="preserve">)</w:t>
      </w:r>
      <w:r>
        <w:t xml:space="preserve">. In some cases, the nearest long-term station did not include data for every monitoring parameter at a response location and the next closest station was used as a reference. These long-term water quality data are available from the University of South Florida Water Atlas (</w:t>
      </w:r>
      <w:hyperlink r:id="rId42">
        <w:r>
          <w:rPr>
            <w:rStyle w:val="Hyperlink"/>
          </w:rPr>
          <w:t xml:space="preserve">https://wateratlas.usf.edu/</w:t>
        </w:r>
      </w:hyperlink>
      <w:r>
        <w:t xml:space="preserve">).</w:t>
      </w:r>
    </w:p>
    <w:bookmarkEnd w:id="43"/>
    <w:bookmarkStart w:id="44" w:name="data-analysis"/>
    <w:p>
      <w:pPr>
        <w:pStyle w:val="Heading2"/>
      </w:pPr>
      <w:r>
        <w:t xml:space="preserve">Data Analysis</w:t>
      </w:r>
    </w:p>
    <w:p>
      <w:pPr>
        <w:pStyle w:val="FirstParagraph"/>
      </w:pPr>
      <w:r>
        <w:t xml:space="preserve">The R statistical programming language (v4.0.2) was used to import, synthesize, and analyze all datasets provided by multiple partners</w:t>
      </w:r>
      <w:r>
        <w:t xml:space="preserve"> </w:t>
      </w:r>
      <w:r>
        <w:t xml:space="preserve">(</w:t>
      </w:r>
      <w:hyperlink w:anchor="ref-RCT20">
        <w:r>
          <w:rPr>
            <w:rStyle w:val="Hyperlink"/>
          </w:rPr>
          <w:t xml:space="preserve">R Core Team, 2020</w:t>
        </w:r>
      </w:hyperlink>
      <w:r>
        <w:t xml:space="preserve">)</w:t>
      </w:r>
      <w:r>
        <w:t xml:space="preserve">. Partner data were uploaded or entered manually as Google spreadsheets, where they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w:t>
      </w:r>
    </w:p>
    <w:p>
      <w:pPr>
        <w:pStyle w:val="BodyText"/>
      </w:pPr>
      <w:r>
        <w:t xml:space="preserve">Quantitative assessments of trends included boxplot summaries, principal components analysis (PCA), Spearman rank correlations between pairs of variables, and multiple comparison tests to assess trends between months. Assessments were first evaluated only on total nitrogen, chlorophyll-a, and secchi disk depth as a general analysis of potential patterns in eutrophication following wastewater release. Further analyses were conducted to compare all data types together, including the entire suite of water quality data, seagrass frequency occurrences, and macroalgae frequency occurrences to identify potential mechanisms of change using seagrasses as an endpoint for evaluating potential impacts. Data describing</w:t>
      </w:r>
      <w:r>
        <w:t xml:space="preserve"> </w:t>
      </w:r>
      <w:r>
        <w:rPr>
          <w:iCs/>
          <w:i/>
        </w:rPr>
        <w:t xml:space="preserve">K. brevis</w:t>
      </w:r>
      <w:r>
        <w:t xml:space="preserve"> </w:t>
      </w:r>
      <w:r>
        <w:t xml:space="preserve">cell concentrations were only evaluated qualitatively because the data are from event-based sampling and generally do not represent a random sample appropriate for statistical testing.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For PCA, all variables were standardized to zero mean and unit variance so that the central tendencies and ranges of all variables were similar. Variables with log-normal distribution were log</w:t>
      </w:r>
      <m:oMath>
        <m:sSub>
          <m:e>
            <m:r>
              <m:t>​</m:t>
            </m:r>
          </m:e>
          <m:sub>
            <m:r>
              <m:t>10</m:t>
            </m:r>
          </m:sub>
        </m:sSub>
      </m:oMath>
      <w:r>
        <w:t xml:space="preserve">-transformed (i.e., nutrients, chlorophyll) prior to analysis.</w:t>
      </w:r>
    </w:p>
    <w:p>
      <w:pPr>
        <w:pStyle w:val="BodyText"/>
      </w:pPr>
      <w:r>
        <w:t xml:space="preserve">The</w:t>
      </w:r>
      <w:r>
        <w:t xml:space="preserve"> </w:t>
      </w:r>
      <w:r>
        <w:t xml:space="preserve">“</w:t>
      </w:r>
      <w:r>
        <w:t xml:space="preserve">PCA</w:t>
      </w:r>
      <w:r>
        <w:t xml:space="preserve">”</w:t>
      </w:r>
      <w:r>
        <w:t xml:space="preserve"> </w:t>
      </w:r>
      <w:r>
        <w:t xml:space="preserve">function from the FactoMineR R package</w:t>
      </w:r>
      <w:r>
        <w:t xml:space="preserve"> </w:t>
      </w:r>
      <w:r>
        <w:t xml:space="preserve">(</w:t>
      </w:r>
      <w:hyperlink w:anchor="ref-Le08">
        <w:r>
          <w:rPr>
            <w:rStyle w:val="Hyperlink"/>
          </w:rPr>
          <w:t xml:space="preserve">Lê et al., 2008</w:t>
        </w:r>
      </w:hyperlink>
      <w:r>
        <w:t xml:space="preserve">)</w:t>
      </w:r>
      <w:r>
        <w:t xml:space="preserve"> </w:t>
      </w:r>
      <w:r>
        <w:t xml:space="preserve">was used for PCA and the</w:t>
      </w:r>
      <w:r>
        <w:t xml:space="preserve"> </w:t>
      </w:r>
      <w:r>
        <w:t xml:space="preserve">“</w:t>
      </w:r>
      <w:r>
        <w:t xml:space="preserve">ggord</w:t>
      </w:r>
      <w:r>
        <w:t xml:space="preserve">”</w:t>
      </w:r>
      <w:r>
        <w:t xml:space="preserve"> </w:t>
      </w:r>
      <w:r>
        <w:t xml:space="preserve">function from the ggord R package</w:t>
      </w:r>
      <w:r>
        <w:t xml:space="preserve"> </w:t>
      </w:r>
      <w:r>
        <w:t xml:space="preserve">(</w:t>
      </w:r>
      <w:hyperlink w:anchor="ref-Beck21b">
        <w:r>
          <w:rPr>
            <w:rStyle w:val="Hyperlink"/>
          </w:rPr>
          <w:t xml:space="preserve">Beck, 2021</w:t>
        </w:r>
      </w:hyperlink>
      <w:r>
        <w:t xml:space="preserve">)</w:t>
      </w:r>
      <w:r>
        <w:t xml:space="preserve"> </w:t>
      </w:r>
      <w:r>
        <w:t xml:space="preserve">was used to plot the results. For total nitrogen, chlorophyll-a, and secchi depth, differences in concentrations between months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statistical tests using water quality data, only the monitoring results from FDEP were used for analysis given the consistency of sample location and collection date compared to the remainder of the data obtained from other partners.</w:t>
      </w:r>
    </w:p>
    <w:bookmarkEnd w:id="44"/>
    <w:bookmarkEnd w:id="45"/>
    <w:bookmarkStart w:id="51" w:name="results"/>
    <w:p>
      <w:pPr>
        <w:pStyle w:val="Heading1"/>
      </w:pPr>
      <w:r>
        <w:t xml:space="preserve">Results</w:t>
      </w:r>
    </w:p>
    <w:bookmarkStart w:id="46"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Lyngbya sp.</w:t>
      </w:r>
      <w:r>
        <w:t xml:space="preserve"> </w:t>
      </w:r>
      <w:r>
        <w:t xml:space="preserve">(cyanobacteria macroalgae) were observed at high abundances in Anna Maria Sound and near Port Manatee.</w:t>
      </w:r>
      <w:r>
        <w:t xml:space="preserve"> </w:t>
      </w:r>
      <w:r>
        <w:rPr>
          <w:iCs/>
          <w:i/>
        </w:rPr>
        <w:t xml:space="preserve">Lyngbya</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by August. The remainder of this section is quantitative description these events.</w:t>
      </w:r>
    </w:p>
    <w:bookmarkEnd w:id="46"/>
    <w:bookmarkStart w:id="47" w:name="water-quality-trends"/>
    <w:p>
      <w:pPr>
        <w:pStyle w:val="Heading2"/>
      </w:pPr>
      <w:r>
        <w:t xml:space="preserve">Water quality trends</w:t>
      </w:r>
    </w:p>
    <w:p>
      <w:pPr>
        <w:pStyle w:val="FirstParagraph"/>
      </w:pPr>
      <w:r>
        <w:t xml:space="preserve">From April to August 2021, 6503 samples were collected for chl-a, dissolved oxygen, total nitrogen, total phosphorus, total ammonia nitrogen, nitrate/nitrite, pH, salinity, secchi depth, and temperature (Table</w:t>
      </w:r>
      <w:r>
        <w:t xml:space="preserve"> </w:t>
      </w:r>
      <w:r>
        <w:t xml:space="preserve">2</w:t>
      </w:r>
      <w:r>
        <w:t xml:space="preserve">). Of these samples, 9.9% were outside of the normal range defined by the long-term monthly monitoring data for the baseline period from 2006 to 2020 (below for Secchi depth, above for all others). The percent of observations outside of the normal range varied by location and parameter. For chl-a, 51% of the observations were above the normal range for area 1, whereas only 9% and 24% were above for areas 2 and 3, respectively. Similarly, total nitrogen concentrations were above the normal range for 40% of observations in area 1, whereas concentrations were above for only 12% and 23% of observations in areas 2 and 3. Secchi observations for the period of observation were below the normal range for 46% of observations in area 1 and for 24% and 44% of observations in areas 2 and 3. Notable differences were also observed for dissolved oxygen (e.g., 50% were above in area 1, 48% in area 2). Physical parameters (salinity, temperature) were generally within range over the five month period. Inorganic nitrogen (ammonia, nitrate/nitrite) were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the baseline range. Secchi observations in area 1 were below baseline ranges in April and June.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total nitrogen and chl-a for area 2, and chl-a and secchi depth for area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p>
      <w:pPr>
        <w:pStyle w:val="BodyText"/>
      </w:pPr>
      <w:r>
        <w:t xml:space="preserve">Multivariate assessments of all water quality parameters that combined results across weeks by area showed significant associations between groups of variables (Figure</w:t>
      </w:r>
      <w:r>
        <w:t xml:space="preserve"> </w:t>
      </w:r>
      <w:r>
        <w:t xml:space="preserve">5</w:t>
      </w:r>
      <w:r>
        <w:t xml:space="preserve">). The first principal component explained 41%, 74%, and 47% of the variation among water quality parameters for areas 1, 2, and 3, respectively. These components generally described a positive association between nutrients and chlorophyll concentrations and a negative association with secchi depth and dissolved oxygen. The second and third principal components explained less of the variation among water quality parameters, such that 36%, 20%, and 34% was explained by both axes for areas 1, 2, and 3, respectively. The patterns explained by these axes were less clear, although physical drivers were partially explained in some cases (e.g., component 2 for area 2 explained a positive association for salinity and temperature, Figure</w:t>
      </w:r>
      <w:r>
        <w:t xml:space="preserve"> </w:t>
      </w:r>
      <w:r>
        <w:t xml:space="preserve">5</w:t>
      </w:r>
      <w:r>
        <w:t xml:space="preserve">b). Spearman rank correlations between the pairs of variables used for each of the PCAs showed significant associations. Total nitrogen was positively correlated with chlorophyll and negatively associated with secchi depth for areas 1 and 2 (</w:t>
      </w:r>
      <m:oMath>
        <m:r>
          <m:t>p</m:t>
        </m:r>
        <m:r>
          <m:rPr>
            <m:sty m:val="p"/>
          </m:rPr>
          <m:t>&lt;</m:t>
        </m:r>
        <m:r>
          <m:t>0.005</m:t>
        </m:r>
      </m:oMath>
      <w:r>
        <w:t xml:space="preserve"> </w:t>
      </w:r>
      <w:r>
        <w:t xml:space="preserve">and</w:t>
      </w:r>
      <w:r>
        <w:t xml:space="preserve"> </w:t>
      </w:r>
      <m:oMath>
        <m:r>
          <m:t>p</m:t>
        </m:r>
        <m:r>
          <m:rPr>
            <m:sty m:val="p"/>
          </m:rPr>
          <m:t>&lt;</m:t>
        </m:r>
        <m:r>
          <m:t>0.05</m:t>
        </m:r>
      </m:oMath>
      <w:r>
        <w:t xml:space="preserve">, respectively). Dissolved oxygen was negatively associated with chl-a only in area 3 (</w:t>
      </w:r>
      <m:oMath>
        <m:r>
          <m:t>p</m:t>
        </m:r>
        <m:r>
          <m:rPr>
            <m:sty m:val="p"/>
          </m:rPr>
          <m:t>&lt;</m:t>
        </m:r>
        <m:r>
          <m:t>0.005</m:t>
        </m:r>
      </m:oMath>
      <w:r>
        <w:t xml:space="preserve">), although the temporal progression likely changed over time in the other areas (e.g., increase followed by decrease). Temperature generally had a positive association with chlorophyll (</w:t>
      </w:r>
      <m:oMath>
        <m:r>
          <m:t>p</m:t>
        </m:r>
        <m:r>
          <m:rPr>
            <m:sty m:val="p"/>
          </m:rPr>
          <m:t>&lt;</m:t>
        </m:r>
        <m:r>
          <m:t>0.05</m:t>
        </m:r>
      </m:oMath>
      <w:r>
        <w:t xml:space="preserve"> </w:t>
      </w:r>
      <w:r>
        <w:t xml:space="preserve">for area 2,</w:t>
      </w:r>
      <w:r>
        <w:t xml:space="preserve"> </w:t>
      </w:r>
      <m:oMath>
        <m:r>
          <m:t>p</m:t>
        </m:r>
        <m:r>
          <m:rPr>
            <m:sty m:val="p"/>
          </m:rPr>
          <m:t>&lt;</m:t>
        </m:r>
        <m:r>
          <m:t>0.005</m:t>
        </m:r>
      </m:oMath>
      <w:r>
        <w:t xml:space="preserve"> </w:t>
      </w:r>
      <w:r>
        <w:t xml:space="preserve">for area 3). pH was positively associated with chl-a in areas 1 and 2 (</w:t>
      </w:r>
      <m:oMath>
        <m:r>
          <m:t>p</m:t>
        </m:r>
        <m:r>
          <m:rPr>
            <m:sty m:val="p"/>
          </m:rPr>
          <m:t>&lt;</m:t>
        </m:r>
        <m:r>
          <m:t>0.05</m:t>
        </m:r>
      </m:oMath>
      <w:r>
        <w:t xml:space="preserve"> </w:t>
      </w:r>
      <w:r>
        <w:t xml:space="preserve">for both).</w:t>
      </w:r>
    </w:p>
    <w:bookmarkEnd w:id="47"/>
    <w:bookmarkStart w:id="48" w:name="seagrass-and-macroalgae-trends"/>
    <w:p>
      <w:pPr>
        <w:pStyle w:val="Heading2"/>
      </w:pPr>
      <w:r>
        <w:t xml:space="preserve">Seagrass and macroalgae trends</w:t>
      </w:r>
    </w:p>
    <w:p>
      <w:pPr>
        <w:pStyle w:val="FirstParagraph"/>
      </w:pPr>
      <w:r>
        <w:t xml:space="preserve">A total of 38 transects were sampled for seagrasses and macroalgae from April to August, each visited on average 1.6 times per month. Turtle grass (</w:t>
      </w:r>
      <w:r>
        <w:rPr>
          <w:iCs/>
          <w:i/>
        </w:rPr>
        <w:t xml:space="preserve">T. testudinum</w:t>
      </w:r>
      <w:r>
        <w:t xml:space="preserve">) was the dominant seagrass species with frequency occurrence of 51.1%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32.3% and 30.8%, respectively. Widgeon grass (</w:t>
      </w:r>
      <w:r>
        <w:rPr>
          <w:iCs/>
          <w:i/>
        </w:rPr>
        <w:t xml:space="preserve">R. maritima</w:t>
      </w:r>
      <w:r>
        <w:t xml:space="preserve">) and star grass (</w:t>
      </w:r>
      <w:r>
        <w:rPr>
          <w:iCs/>
          <w:i/>
        </w:rPr>
        <w:t xml:space="preserve">H. engelmanni</w:t>
      </w:r>
      <w:r>
        <w:t xml:space="preserve"> </w:t>
      </w:r>
      <w:r>
        <w:t xml:space="preserve">and</w:t>
      </w:r>
      <w:r>
        <w:t xml:space="preserve"> </w:t>
      </w:r>
      <w:r>
        <w:rPr>
          <w:iCs/>
          <w:i/>
        </w:rPr>
        <w:t xml:space="preserve">H. decipiens</w:t>
      </w:r>
      <w:r>
        <w:t xml:space="preserve">) were uncommon, with frequency occurrences of 4.1% and 0.5%.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59.8%. Common taxa in the red group included</w:t>
      </w:r>
      <w:r>
        <w:t xml:space="preserve"> </w:t>
      </w:r>
      <w:r>
        <w:rPr>
          <w:iCs/>
          <w:i/>
        </w:rPr>
        <w:t xml:space="preserve">Gracilaria sp.</w:t>
      </w:r>
      <w:r>
        <w:t xml:space="preserve"> </w:t>
      </w:r>
      <w:r>
        <w:t xml:space="preserve">and</w:t>
      </w:r>
      <w:r>
        <w:t xml:space="preserve"> </w:t>
      </w:r>
      <w:r>
        <w:rPr>
          <w:iCs/>
          <w:i/>
        </w:rPr>
        <w:t xml:space="preserve">Acanthophora sp.</w:t>
      </w:r>
      <w:r>
        <w:t xml:space="preserve">. Green and cyanobacteria macroalgae were less common, with frequency occurrences of 5.9% and 14.7%. Common taxa in the green group included</w:t>
      </w:r>
      <w:r>
        <w:t xml:space="preserve"> </w:t>
      </w:r>
      <w:r>
        <w:rPr>
          <w:iCs/>
          <w:i/>
        </w:rPr>
        <w:t xml:space="preserve">Ulva sp.</w:t>
      </w:r>
      <w:r>
        <w:t xml:space="preserve"> </w:t>
      </w:r>
      <w:r>
        <w:t xml:space="preserve">and</w:t>
      </w:r>
      <w:r>
        <w:t xml:space="preserve"> </w:t>
      </w:r>
      <w:r>
        <w:rPr>
          <w:iCs/>
          <w:i/>
        </w:rPr>
        <w:t xml:space="preserve">Caulerpa sp.</w:t>
      </w:r>
      <w:r>
        <w:t xml:space="preserve">, whereas</w:t>
      </w:r>
      <w:r>
        <w:t xml:space="preserve"> </w:t>
      </w:r>
      <w:r>
        <w:rPr>
          <w:iCs/>
          <w:i/>
        </w:rPr>
        <w:t xml:space="preserve">Lyngbya sp.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0.2% frequency occurrence.</w:t>
      </w:r>
    </w:p>
    <w:p>
      <w:pPr>
        <w:pStyle w:val="BodyText"/>
      </w:pPr>
      <w:r>
        <w:t xml:space="preserve">Temporal progression of seagrassess and macroalgae varied across the months, although a typical pattern observed at many of the transects is shown in Figure</w:t>
      </w:r>
      <w:r>
        <w:t xml:space="preserve"> </w:t>
      </w:r>
      <w:r>
        <w:t xml:space="preserve">6</w:t>
      </w:r>
      <w:r>
        <w:t xml:space="preserve">. Transect S3T6 is located less than one kilometer to the north of Port Manatee. The site is dominated by manatee grass that was observed at nearly all of the sample points along the transect at varying coverages. Overall abundunce of seagrass did not change dramatically from April 22nd to August 9th. However, macroalgal abundances changed over the course of sampling similar to many of the other transects sampled during the study. Red macroalgae were present in high abundances from April to May.</w:t>
      </w:r>
      <w:r>
        <w:t xml:space="preserve"> </w:t>
      </w:r>
      <w:r>
        <w:rPr>
          <w:iCs/>
          <w:i/>
        </w:rPr>
        <w:t xml:space="preserve">Lyngbya sp.</w:t>
      </w:r>
      <w:r>
        <w:t xml:space="preserve"> </w:t>
      </w:r>
      <w:r>
        <w:t xml:space="preserve">was first observed on May 24th and was present at all of the sample locations on June 4th and 15th.</w:t>
      </w:r>
      <w:r>
        <w:t xml:space="preserve"> </w:t>
      </w:r>
      <w:r>
        <w:rPr>
          <w:iCs/>
          <w:i/>
        </w:rPr>
        <w:t xml:space="preserve">Lyngbya sp.</w:t>
      </w:r>
      <w:r>
        <w:t xml:space="preserve"> </w:t>
      </w:r>
      <w:r>
        <w:t xml:space="preserve">peristed through June and July, but not was observed after July 20th. Green macroalgae taxa were first observed in July, although at generally low abundances. By August, macroalgae abundances were low. Trends in macroalgae somewhat followed seasonal patterns observed baywide with red macroalgae transitioning to green macroalgae. However, overall macroalgae trends, including June dominance of cyanobacteria was observed at nearly all transects that suggests a broader impact from wastewater discharge at Piney Point.</w:t>
      </w:r>
    </w:p>
    <w:p>
      <w:pPr>
        <w:pStyle w:val="BodyText"/>
      </w:pPr>
      <w:r>
        <w:t xml:space="preserve">Monthly summaries in frequency occurrence by area (Figure</w:t>
      </w:r>
      <w:r>
        <w:t xml:space="preserve"> </w:t>
      </w:r>
      <w:r>
        <w:t xml:space="preserve">7</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35.4%, August frequency occurrence of 14.6%). A similar decline in coverage of shoal grass was also observed in area 3 (April frequency occurrence of 44%, July frequency occurrence of 17.4%). Frequency occurrence of manatee grass (</w:t>
      </w:r>
      <w:r>
        <w:rPr>
          <w:iCs/>
          <w:i/>
        </w:rPr>
        <w:t xml:space="preserve">S. syringodium</w:t>
      </w:r>
      <w:r>
        <w:t xml:space="preserve">) also declined slightly from April to July in area 3 (April frequency occurrence of 35.7%, August frequency occurrence of 13%). Changes in macroalgae frequency occurrence were much more pronounced than for seagrasses across months and by area. Red macroalgae was the dominant group across all months and areas, with the highest frequency occurrences observed in April (80.9% in area 1, 95.2% in area 3). Cyanobacteria frequency occurrence peaked in June, with greater coverage in area 3 (47.5%) compared to area 1 (29.7%). Green macroalgae had the second lowest frequency occurrence, with the highest coverage of 16.7% observed in August in area 1. Brown macroalgae was only observed at one transect.</w:t>
      </w:r>
    </w:p>
    <w:p>
      <w:pPr>
        <w:pStyle w:val="BodyText"/>
      </w:pPr>
      <w:r>
        <w:t xml:space="preserve">Statistical comparisons of results in Figure</w:t>
      </w:r>
      <w:r>
        <w:t xml:space="preserve"> </w:t>
      </w:r>
      <w:r>
        <w:t xml:space="preserve">7</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6</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0.041</m:t>
        </m:r>
      </m:oMath>
      <w:r>
        <w:t xml:space="preserve">). Coverage of cyanobacteria in area 1 during June was significantly higher than coverage in April. No significant differences between months were observed for the green macroalgae group.</w:t>
      </w:r>
    </w:p>
    <w:bookmarkEnd w:id="48"/>
    <w:bookmarkStart w:id="49" w:name="X7d509d12c8a268d66c5cdc1551e1d6f1f197d15"/>
    <w:p>
      <w:pPr>
        <w:pStyle w:val="Heading2"/>
      </w:pPr>
      <w:r>
        <w:t xml:space="preserve">Water quality compared to seagrass and macrolagae</w:t>
      </w:r>
    </w:p>
    <w:p>
      <w:pPr>
        <w:pStyle w:val="FirstParagraph"/>
      </w:pPr>
      <w:r>
        <w:t xml:space="preserve">A PCA comparison of all water quality variables with seagrass and macroalgae frequency occurrence estimates shows significant assocations between groups of variables (Figure</w:t>
      </w:r>
      <w:r>
        <w:t xml:space="preserve"> </w:t>
      </w:r>
      <w:r>
        <w:t xml:space="preserve">8</w:t>
      </w:r>
      <w:r>
        <w:t xml:space="preserve">). The first principal component axis explained 31% of the variation among all variables, whereas the second and third axes explained 33% of the remaining variation. For the water quality varialbes, the first principal component axis had positive loadings for secchi depth and dissolved oyxgen and negatative assocations for total nitrogen, chl-a, and temperature. For macroalgae, the first axis was positively associated with frequency occurrence of red and green macroalgae and negatively associated with cyanobacteria. Loading vectors for the seagrasses were minor, although turtle grass (</w:t>
      </w:r>
      <w:r>
        <w:rPr>
          <w:iCs/>
          <w:i/>
        </w:rPr>
        <w:t xml:space="preserve">T. testudinum</w:t>
      </w:r>
      <w:r>
        <w:t xml:space="preserve">) had a weak positive association with axis 1. The second principal component axis had a strong postive assocation with total phosphorus and negative association with salinity. The third axis showed a strong positive association with manatee grass (</w:t>
      </w:r>
      <w:r>
        <w:rPr>
          <w:iCs/>
          <w:i/>
        </w:rPr>
        <w:t xml:space="preserve">S. filiforme</w:t>
      </w:r>
      <w:r>
        <w:t xml:space="preserve">) and negative association with shoal grass (</w:t>
      </w:r>
      <w:r>
        <w:rPr>
          <w:iCs/>
          <w:i/>
        </w:rPr>
        <w:t xml:space="preserve">H. wrightii</w:t>
      </w:r>
      <w:r>
        <w:t xml:space="preserve">).</w:t>
      </w:r>
    </w:p>
    <w:p>
      <w:pPr>
        <w:pStyle w:val="BodyText"/>
      </w:pPr>
      <w:r>
        <w:t xml:space="preserve">Pairwise Spearman rank correlations for the same variables used in the PCA showed significant associations among several of the water quality, seagrass, and macroalgae variables. Chlorophyll-a was positively correlated with total phosphorus, total nitrogen, temperature, and pH (all</w:t>
      </w:r>
      <w:r>
        <w:t xml:space="preserve"> </w:t>
      </w:r>
      <m:oMath>
        <m:r>
          <m:t>p</m:t>
        </m:r>
        <m:r>
          <m:rPr>
            <m:sty m:val="p"/>
          </m:rPr>
          <m:t>&lt;</m:t>
        </m:r>
        <m:r>
          <m:t>0.005</m:t>
        </m:r>
      </m:oMath>
      <w:r>
        <w:t xml:space="preserve">) and negatively correlated with secchi depth (</w:t>
      </w:r>
      <m:oMath>
        <m:r>
          <m:t>p</m:t>
        </m:r>
        <m:r>
          <m:rPr>
            <m:sty m:val="p"/>
          </m:rPr>
          <m:t>&lt;</m:t>
        </m:r>
        <m:r>
          <m:t>0.005</m:t>
        </m:r>
      </m:oMath>
      <w:r>
        <w:t xml:space="preserve">). Chlorophyll-a was also negatively correlated red and green macroalgae (</w:t>
      </w:r>
      <m:oMath>
        <m:r>
          <m:t>p</m:t>
        </m:r>
        <m:r>
          <m:rPr>
            <m:sty m:val="p"/>
          </m:rPr>
          <m:t>&lt;</m:t>
        </m:r>
        <m:r>
          <m:t>0.05</m:t>
        </m:r>
      </m:oMath>
      <w:r>
        <w:t xml:space="preserve">) and turtle grass (</w:t>
      </w:r>
      <m:oMath>
        <m:r>
          <m:t>p</m:t>
        </m:r>
        <m:r>
          <m:rPr>
            <m:sty m:val="p"/>
          </m:rPr>
          <m:t>&lt;</m:t>
        </m:r>
        <m:r>
          <m:t>0.005</m:t>
        </m:r>
      </m:oMath>
      <w:r>
        <w:t xml:space="preserve">). Among the macroalgae, green and red groups were positively correlated (</w:t>
      </w:r>
      <m:oMath>
        <m:r>
          <m:t>p</m:t>
        </m:r>
        <m:r>
          <m:rPr>
            <m:sty m:val="p"/>
          </m:rPr>
          <m:t>&lt;</m:t>
        </m:r>
        <m:r>
          <m:t>0.05</m:t>
        </m:r>
      </m:oMath>
      <w:r>
        <w:t xml:space="preserve">), whereas both were negatively correlated with cyanobacteria (</w:t>
      </w:r>
      <m:oMath>
        <m:r>
          <m:t>p</m:t>
        </m:r>
        <m:r>
          <m:rPr>
            <m:sty m:val="p"/>
          </m:rPr>
          <m:t>&lt;</m:t>
        </m:r>
        <m:r>
          <m:t>0.005</m:t>
        </m:r>
      </m:oMath>
      <w:r>
        <w:t xml:space="preserve"> </w:t>
      </w:r>
      <w:r>
        <w:t xml:space="preserve">for red,</w:t>
      </w:r>
      <w:r>
        <w:t xml:space="preserve"> </w:t>
      </w:r>
      <m:oMath>
        <m:r>
          <m:t>p</m:t>
        </m:r>
        <m:r>
          <m:rPr>
            <m:sty m:val="p"/>
          </m:rPr>
          <m:t>&lt;</m:t>
        </m:r>
        <m:r>
          <m:t>0.05</m:t>
        </m:r>
      </m:oMath>
      <w:r>
        <w:t xml:space="preserve"> </w:t>
      </w:r>
      <w:r>
        <w:t xml:space="preserve">for green). For water quality and seagrass, chl-a, total nitrogen, and total phosphorus was negatively correlated to turtle grass (</w:t>
      </w:r>
      <m:oMath>
        <m:r>
          <m:t>p</m:t>
        </m:r>
        <m:r>
          <m:rPr>
            <m:sty m:val="p"/>
          </m:rPr>
          <m:t>&lt;</m:t>
        </m:r>
        <m:r>
          <m:t>0.005</m:t>
        </m:r>
      </m:oMath>
      <w:r>
        <w:t xml:space="preserve"> </w:t>
      </w:r>
      <w:r>
        <w:t xml:space="preserve">for all, except</w:t>
      </w:r>
      <w:r>
        <w:t xml:space="preserve"> </w:t>
      </w:r>
      <m:oMath>
        <m:r>
          <m:t>p</m:t>
        </m:r>
        <m:r>
          <m:rPr>
            <m:sty m:val="p"/>
          </m:rPr>
          <m:t>&lt;</m:t>
        </m:r>
        <m:r>
          <m:t>0.05</m:t>
        </m:r>
      </m:oMath>
      <w:r>
        <w:t xml:space="preserve"> </w:t>
      </w:r>
      <w:r>
        <w:t xml:space="preserve">for total nitrogen), whereas secchi was positively associated with shoal grass (</w:t>
      </w:r>
      <m:oMath>
        <m:r>
          <m:t>p</m:t>
        </m:r>
        <m:r>
          <m:rPr>
            <m:sty m:val="p"/>
          </m:rPr>
          <m:t>&lt;</m:t>
        </m:r>
        <m:r>
          <m:t>0.05</m:t>
        </m:r>
      </m:oMath>
      <w:r>
        <w:t xml:space="preserve">). For macroalgae and seagrass, red and cyanobacteria macroalgae were positively correlated with manatee grass (</w:t>
      </w:r>
      <m:oMath>
        <m:r>
          <m:t>p</m:t>
        </m:r>
        <m:r>
          <m:rPr>
            <m:sty m:val="p"/>
          </m:rPr>
          <m:t>&lt;</m:t>
        </m:r>
        <m:r>
          <m:t>0.005</m:t>
        </m:r>
      </m:oMath>
      <w:r>
        <w:t xml:space="preserve"> </w:t>
      </w:r>
      <w:r>
        <w:t xml:space="preserve">for both), whereas cyanobacteria was negatively correlated with shoal grass (</w:t>
      </w:r>
      <m:oMath>
        <m:r>
          <m:t>p</m:t>
        </m:r>
        <m:r>
          <m:rPr>
            <m:sty m:val="p"/>
          </m:rPr>
          <m:t>&lt;</m:t>
        </m:r>
        <m:r>
          <m:t>0.005</m:t>
        </m:r>
      </m:oMath>
      <w:r>
        <w:t xml:space="preserve">) and turtle grass (</w:t>
      </w:r>
      <m:oMath>
        <m:r>
          <m:t>p</m:t>
        </m:r>
        <m:r>
          <m:rPr>
            <m:sty m:val="p"/>
          </m:rPr>
          <m:t>&lt;</m:t>
        </m:r>
        <m:r>
          <m:t>0.05</m:t>
        </m:r>
      </m:oMath>
      <w:r>
        <w:t xml:space="preserve">). Among the seagrasses, manatee grass was negatively correlated with turtle grass and shoal grass (</w:t>
      </w:r>
      <m:oMath>
        <m:r>
          <m:t>p</m:t>
        </m:r>
        <m:r>
          <m:rPr>
            <m:sty m:val="p"/>
          </m:rPr>
          <m:t>&lt;</m:t>
        </m:r>
        <m:r>
          <m:t>0.005</m:t>
        </m:r>
      </m:oMath>
      <w:r>
        <w:t xml:space="preserve"> </w:t>
      </w:r>
      <w:r>
        <w:t xml:space="preserve">for both).</w:t>
      </w:r>
    </w:p>
    <w:bookmarkEnd w:id="49"/>
    <w:bookmarkStart w:id="50"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9</w:t>
      </w:r>
      <w:r>
        <w:t xml:space="preserve">a shows the range of cell concentrations sampled in middle and lower Tampa Bay, with only a handful of years having median cell concentrations greater than 10k cells/L, notably 2001 and 2012, although several years had concentrations above the median that were at bloom levels. Median cell concentrations for most years were well below 1k cells/L. The highest concentration of 17.6 million cells/L was observed in 2021, whereas only 2006 had a maximum observed concentration above 10 million cells/L. Seasonally in 2021, bloom concentrations were not observed until the week of May 23, with concentrations peaking by the week of July 4th, after which concentrations declined through August (Figure</w:t>
      </w:r>
      <w:r>
        <w:t xml:space="preserve"> </w:t>
      </w:r>
      <w:r>
        <w:t xml:space="preserve">9</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9</w:t>
      </w:r>
      <w:r>
        <w:t xml:space="preserve">c). Historically, more fish kills were reported in Saint Petersburg (85.6%) as compared to Tampa (14.4%), where the former is closer to the mouth of Tampa Bay. In 2021, 329 reports were made in Saint Petersburg and 65 reports were made in Tampa (Figure</w:t>
      </w:r>
      <w:r>
        <w:t xml:space="preserve"> </w:t>
      </w:r>
      <w:r>
        <w:t xml:space="preserve">9</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9</w:t>
      </w:r>
      <w:r>
        <w:t xml:space="preserve">b). Notably, the first to last week of fish kill reports covered only one and half months, whereas red tide in the bay was observed over nearly five months. Increased reports in early July coincided with a shift in winds from Tropical Storm Elsa which moved dead fish closer to populated nearshore areas, as noted earlier. As a result, the city of St. Petersburg removed over 1800 tons of dead fish near public and private shoreline areas (K. Hammer Levy, City of St. Petersburg, pers. comm. Aug. 2021).</w:t>
      </w:r>
    </w:p>
    <w:bookmarkEnd w:id="50"/>
    <w:bookmarkEnd w:id="51"/>
    <w:bookmarkStart w:id="53" w:name="discussion"/>
    <w:p>
      <w:pPr>
        <w:pStyle w:val="Heading1"/>
      </w:pPr>
      <w:r>
        <w:t xml:space="preserve">Discussion</w:t>
      </w:r>
    </w:p>
    <w:p>
      <w:pPr>
        <w:numPr>
          <w:ilvl w:val="0"/>
          <w:numId w:val="1001"/>
        </w:numPr>
        <w:pStyle w:val="Compact"/>
      </w:pPr>
      <w:r>
        <w:t xml:space="preserve">Explain results - what’s up with inorganic nutrients? Likely driving phyto response but concentrations are not a good indicator. Uptake is rapid…</w:t>
      </w:r>
    </w:p>
    <w:p>
      <w:pPr>
        <w:numPr>
          <w:ilvl w:val="0"/>
          <w:numId w:val="1001"/>
        </w:numPr>
        <w:pStyle w:val="Compact"/>
      </w:pPr>
      <w:r>
        <w:t xml:space="preserve">Comparison to other locations/past events - Grand Bay, Bishop Harbor, Huelva estuary</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Dillon report about Grand Bay</w:t>
      </w:r>
      <w:r>
        <w:t xml:space="preserve"> </w:t>
      </w:r>
      <w:hyperlink r:id="rId52">
        <w:r>
          <w:rPr>
            <w:rStyle w:val="Hyperlink"/>
          </w:rPr>
          <w:t xml:space="preserve">link</w:t>
        </w:r>
      </w:hyperlink>
    </w:p>
    <w:p>
      <w:pPr>
        <w:numPr>
          <w:ilvl w:val="0"/>
          <w:numId w:val="1001"/>
        </w:numPr>
        <w:pStyle w:val="Compact"/>
      </w:pPr>
      <w:r>
        <w:t xml:space="preserve">Analysis limitations: no smoking gun but 2021 is an anomaly, additional info (benthic diversity TBD, nekton diversity TBD, large mammals, etc.), response-based monitoring may be biased</w:t>
      </w:r>
    </w:p>
    <w:p>
      <w:pPr>
        <w:numPr>
          <w:ilvl w:val="0"/>
          <w:numId w:val="1001"/>
        </w:numPr>
        <w:pStyle w:val="Compact"/>
      </w:pPr>
      <w:r>
        <w:t xml:space="preserve">Long-term closure plan? NGS-N is treated with spray evaporation system, but concentrations of TN/TP higher than NGS-S (see EO)/</w:t>
      </w:r>
    </w:p>
    <w:p>
      <w:pPr>
        <w:numPr>
          <w:ilvl w:val="0"/>
          <w:numId w:val="1001"/>
        </w:numPr>
        <w:pStyle w:val="Compact"/>
      </w:pPr>
      <w:r>
        <w:t xml:space="preserve">Potential long-term impacts TBD</w:t>
      </w:r>
    </w:p>
    <w:p>
      <w:pPr>
        <w:numPr>
          <w:ilvl w:val="0"/>
          <w:numId w:val="1001"/>
        </w:numPr>
        <w:pStyle w:val="Compact"/>
      </w:pPr>
      <w:r>
        <w:t xml:space="preserve">Current challenges in TB/southwest FL - OTB, seagrass loss (possibly linked to 2018 red tide, effects of Hurricanes</w:t>
      </w:r>
      <w:r>
        <w:t xml:space="preserve"> </w:t>
      </w:r>
      <w:r>
        <w:t xml:space="preserve">(</w:t>
      </w:r>
      <w:hyperlink w:anchor="ref-Tomasko20">
        <w:r>
          <w:rPr>
            <w:rStyle w:val="Hyperlink"/>
          </w:rPr>
          <w:t xml:space="preserve">Tomasko et al., 2020</w:t>
        </w:r>
      </w:hyperlink>
      <w:r>
        <w:t xml:space="preserve">)</w:t>
      </w:r>
      <w:r>
        <w:t xml:space="preserve">), red tide, climate change</w:t>
      </w:r>
    </w:p>
    <w:p>
      <w:pPr>
        <w:numPr>
          <w:ilvl w:val="0"/>
          <w:numId w:val="1001"/>
        </w:numPr>
        <w:pStyle w:val="Compact"/>
      </w:pPr>
      <w:r>
        <w:t xml:space="preserve">Risk of decline (IRL ex.), regression of past progress</w:t>
      </w:r>
    </w:p>
    <w:bookmarkEnd w:id="53"/>
    <w:bookmarkStart w:id="54" w:name="acknowledgments"/>
    <w:p>
      <w:pPr>
        <w:pStyle w:val="Heading1"/>
      </w:pPr>
      <w:r>
        <w:t xml:space="preserve">Acknowledgments</w:t>
      </w:r>
    </w:p>
    <w:bookmarkEnd w:id="54"/>
    <w:bookmarkStart w:id="66"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55"/>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ra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56"/>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Mrach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Chlorophyll observations were truncated to a maximum of 30 ug/L to remove some outliers."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57"/>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Chlorophyll observations were truncated to a maximum of 30 ug/L to remove some outliers.</w:t>
      </w:r>
    </w:p>
    <w:p>
      <w:pPr>
        <w:pStyle w:val="CaptionedFigure"/>
      </w:pPr>
      <w:r>
        <w:drawing>
          <wp:inline>
            <wp:extent cx="5943600" cy="4457700"/>
            <wp:effectExtent b="0" l="0" r="0" t="0"/>
            <wp:docPr descr="Figure 4: Sampled water quality data by week for April to July 2021 in response to wastewater disc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title="" id="1" name="Picture"/>
            <a:graphic>
              <a:graphicData uri="http://schemas.openxmlformats.org/drawingml/2006/picture">
                <pic:pic>
                  <pic:nvPicPr>
                    <pic:cNvPr descr="C:/proj/piney-point-manu/figs/wqtrnds.jpe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w:t>
      </w:r>
    </w:p>
    <w:p>
      <w:pPr>
        <w:pStyle w:val="CaptionedFigure"/>
      </w:pPr>
      <w:r>
        <w:drawing>
          <wp:inline>
            <wp:extent cx="5943600" cy="6792685"/>
            <wp:effectExtent b="0" l="0" r="0" t="0"/>
            <wp:docPr descr="Figure 5: Principal components analyses (PCA) and correlation matrices for water quality variables by week for April to July 2021 in response to wastewater discharge from Piney Point for (a) area 1, (b) area 2, and (c) area 3 (Figure 1a). All variables were standardized to zero mean and unit variance prior to PCA. Variables with log-normal distribution were log-transformed prior to analysis. Pearson correlations indicate the linear strength of assocation between pairs of variables. ** p &lt; 0.005, * p &lt; 0.05, blank is not signifcant at \alpha = 0.05." title="" id="1" name="Picture"/>
            <a:graphic>
              <a:graphicData uri="http://schemas.openxmlformats.org/drawingml/2006/picture">
                <pic:pic>
                  <pic:nvPicPr>
                    <pic:cNvPr descr="C:/proj/piney-point-manu/figs/pcacors.jpeg" id="0" name="Picture"/>
                    <pic:cNvPicPr>
                      <a:picLocks noChangeArrowheads="1" noChangeAspect="1"/>
                    </pic:cNvPicPr>
                  </pic:nvPicPr>
                  <pic:blipFill>
                    <a:blip r:embed="rId59"/>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t xml:space="preserve">Figure 5: Principal components analyses (PCA) and correlation matrices for water quality variables by week for April to July 2021 in response to wastewater discharge from Piney Point for (a) area 1, (b) area 2, and (c) area 3 (Figure</w:t>
      </w:r>
      <w:r>
        <w:t xml:space="preserve"> </w:t>
      </w:r>
      <w:r>
        <w:t xml:space="preserve">1</w:t>
      </w:r>
      <w:r>
        <w:t xml:space="preserve">a). All variables were standardized to zero mean and unit variance prior to PCA. Variables with log-normal distribution were log-transformed prior to analysis. Pearson correlations indicate the linear strength of assocation between pairs of variables. ** p &lt; 0.005, * p &lt; 0.05, blank is not signifcant at</w:t>
      </w:r>
      <w:r>
        <w:t xml:space="preserve"> </w:t>
      </w:r>
      <m:oMath>
        <m:r>
          <m:t>α</m:t>
        </m:r>
      </m:oMath>
      <w:r>
        <w:t xml:space="preserve"> </w:t>
      </w:r>
      <w:r>
        <w:t xml:space="preserve">= 0.05.</w:t>
      </w:r>
    </w:p>
    <w:p>
      <w:pPr>
        <w:pStyle w:val="CaptionedFigure"/>
      </w:pPr>
      <w:r>
        <w:drawing>
          <wp:inline>
            <wp:extent cx="5943600" cy="5200650"/>
            <wp:effectExtent b="0" l="0" r="0" t="0"/>
            <wp:docPr descr="Figure 6: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Lyngbya sp. (cyanobacteria) peaking in June and green macroalgae (Ulva s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6: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Lyngbya sp.</w:t>
      </w:r>
      <w:r>
        <w:t xml:space="preserve"> </w:t>
      </w:r>
      <w:r>
        <w:t xml:space="preserve">(cyanobacteria) peaking in June and green macroalgae (</w:t>
      </w:r>
      <w:r>
        <w:rPr>
          <w:iCs/>
          <w:i/>
        </w:rPr>
        <w:t xml:space="preserve">Ulva sp.</w:t>
      </w:r>
      <w:r>
        <w:t xml:space="preserve">) increasing in July. Abundances are Braun-Blanquet coverage estimates.</w:t>
      </w:r>
    </w:p>
    <w:p>
      <w:pPr>
        <w:pStyle w:val="CaptionedFigure"/>
      </w:pPr>
      <w:r>
        <w:drawing>
          <wp:inline>
            <wp:extent cx="5943600" cy="4457700"/>
            <wp:effectExtent b="0" l="0" r="0" t="0"/>
            <wp:docPr descr="Figure 7: Frequency occurrence estimates for (a) area 1 and (b) area 2 (Figure 1a) for seagrass (top) and macroalgae (bottom) rapid response transect surveys across all transects (n = thirty-eight) near Piney Point. Estimates are grouped by sample months in 2021. Frequency occurrences are absolute for each taxa based on presence/absence."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7: Frequency occurrence estimates for (a) area 1 and (b) area 2 (Figure</w:t>
      </w:r>
      <w:r>
        <w:t xml:space="preserve"> </w:t>
      </w:r>
      <w:r>
        <w:t xml:space="preserve">1</w:t>
      </w:r>
      <w:r>
        <w:t xml:space="preserve">a) for seagrass (top) and macroalgae (bottom) rapid response transect surveys across all transects (n = thirty-eight) near Piney Point. Estimates are grouped by sample months in 2021. Frequency occurrences are absolute for each taxa based on presence/absence.</w:t>
      </w:r>
    </w:p>
    <w:p>
      <w:pPr>
        <w:pStyle w:val="CaptionedFigure"/>
      </w:pPr>
      <w:r>
        <w:drawing>
          <wp:inline>
            <wp:extent cx="5943600" cy="2377440"/>
            <wp:effectExtent b="0" l="0" r="0" t="0"/>
            <wp:docPr descr="Figure 8: Principal components analysis (PCA) and correlation matrix for water quality variables, macroalgae, and seagrasses by week for April to July 2021 in response to wastewater discharge from Piney Point. Only areas 1 and 3 (Figure 1a) are included where seagrass transects were surveyed. All variables were standardized to zero mean and unit variance prior to PCA. Variables with log-normal distribution were log-transformed prior to analysis. Thick black lines in the correlation matrix separate water quality, macroalgae, and seagrass variables. Pearson correlations indicate the linear strength of assocation between pairs of variables. ** p &lt; 0.005, * p &lt; 0.05, blank is not significant at \alpha = 0.05." title="" id="1" name="Picture"/>
            <a:graphic>
              <a:graphicData uri="http://schemas.openxmlformats.org/drawingml/2006/picture">
                <pic:pic>
                  <pic:nvPicPr>
                    <pic:cNvPr descr="C:/proj/piney-point-manu/figs/allpcacors.jpe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Principal components analysis (PCA) and correlation matrix for water quality variables, macroalgae, and seagrasses by week for April to July 2021 in response to wastewater discharge from Piney Point. Only areas 1 and 3 (Figure</w:t>
      </w:r>
      <w:r>
        <w:t xml:space="preserve"> </w:t>
      </w:r>
      <w:r>
        <w:t xml:space="preserve">1</w:t>
      </w:r>
      <w:r>
        <w:t xml:space="preserve">a) are included where seagrass transects were surveyed. All variables were standardized to zero mean and unit variance prior to PCA. Variables with log-normal distribution were log-transformed prior to analysis. Thick black lines in the correlation matrix separate water quality, macroalgae, and seagrass variables. Pearson correlations indicate the linear strength of assocation between pairs of variables. ** p &lt; 0.005, * p &lt; 0.05, blank is not significant at</w:t>
      </w:r>
      <w:r>
        <w:t xml:space="preserve"> </w:t>
      </w:r>
      <m:oMath>
        <m:r>
          <m:t>α</m:t>
        </m:r>
      </m:oMath>
      <w:r>
        <w:t xml:space="preserve"> </w:t>
      </w:r>
      <w:r>
        <w:t xml:space="preserve">= 0.05.</w:t>
      </w:r>
    </w:p>
    <w:p>
      <w:pPr>
        <w:pStyle w:val="CaptionedFigure"/>
      </w:pPr>
      <w:r>
        <w:drawing>
          <wp:inline>
            <wp:extent cx="5486400" cy="7315200"/>
            <wp:effectExtent b="0" l="0" r="0" t="0"/>
            <wp:docPr descr="Figure 9: Karenia brevis concentrations (100k cells/L) and number of fish kill reports for the contiguous record showing cell concentrations (a) by year and (b) by week in 2021 and reported fish kills by city (Tampa, St. Petersburg) (c) by year and (d) by week in 2021. Red tide concentrations show minimum, tenth percentile, median, 90th percentile, and maximum for each year or week for middle and lower Tampa Bay.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title="" id="1" name="Picture"/>
            <a:graphic>
              <a:graphicData uri="http://schemas.openxmlformats.org/drawingml/2006/picture">
                <pic:pic>
                  <pic:nvPicPr>
                    <pic:cNvPr descr="figs/redtide.jpeg" id="0" name="Picture"/>
                    <pic:cNvPicPr>
                      <a:picLocks noChangeArrowheads="1" noChangeAspect="1"/>
                    </pic:cNvPicPr>
                  </pic:nvPicPr>
                  <pic:blipFill>
                    <a:blip r:embed="rId6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9:</w:t>
      </w:r>
      <w:r>
        <w:t xml:space="preserve"> </w:t>
      </w:r>
      <w:r>
        <w:rPr>
          <w:iCs/>
          <w:i/>
        </w:rPr>
        <w:t xml:space="preserve">Karenia brevis</w:t>
      </w:r>
      <w:r>
        <w:t xml:space="preserve"> </w:t>
      </w:r>
      <w:r>
        <w:t xml:space="preserve">concentrations (100k cells/L) and number of fish kill reports for the contiguous record showing cell concentrations (a) by year and (b) by week in 2021 and reported fish kills by city (Tampa, St. Petersburg) (c) by year and (d) by week in 2021. Red tide concentrations show minimum, tenth percentile, median, 90th percentile, and maximum for each year or week for middle and lower Tampa Bay.</w:t>
      </w:r>
      <w:r>
        <w:t xml:space="preserve"> </w:t>
      </w:r>
      <w:r>
        <w:rPr>
          <w:iCs/>
          <w:i/>
        </w:rPr>
        <w:t xml:space="preserve">K. brevis</w:t>
      </w:r>
      <w:r>
        <w:t xml:space="preserve"> </w:t>
      </w:r>
      <w:r>
        <w:t xml:space="preserve">cell counts are from NOAA Harmful Algal BloomS Observing System (HABSOS,</w:t>
      </w:r>
      <w:r>
        <w:t xml:space="preserve"> </w:t>
      </w:r>
      <w:hyperlink r:id="rId6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65">
        <w:r>
          <w:rPr>
            <w:rStyle w:val="Hyperlink"/>
          </w:rPr>
          <w:t xml:space="preserve">https://public.myfwc.com/FWRI/FishKillReport/</w:t>
        </w:r>
      </w:hyperlink>
      <w:r>
        <w:t xml:space="preserve">).</w:t>
      </w:r>
    </w:p>
    <w:bookmarkEnd w:id="66"/>
    <w:bookmarkStart w:id="67"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collected monthly by the Environmental Protection Commission of Hillsborough County. Effluent concentrations were taken from two samples on April 6th and 13th at the outflow at Port Manatee. Averages were taken when two measured values were available from both effluent sample dates.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collected monthly by the Environmental Protection Commission of Hillsborough County. Effluent concentrations were taken from two samples on April 6th and 13th at the outflow at Port Manatee. Averages were taken when two measured values were available from both effluent sample dates.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0.003 (0.003, 0.018)</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(0.006, 0.0395)</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0.286 (0.199, 0.455)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0.085 (0.058, 0.146)</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(0.009,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91 (86, 92.2)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from March to July 2021 in response to wastewater discharge from Piney Point. Variables are grouped by major areas interest for evaluating status and trends shown in Figure</w:t>
      </w:r>
      <w:r>
        <w:t xml:space="preserve"> </w:t>
      </w:r>
      <w:r>
        <w:t xml:space="preserve">1</w:t>
      </w:r>
      <w:r>
        <w:t xml:space="preserve">a. Summaries are median, maximum, and minimum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w:t>
      </w:r>
    </w:p>
    <w:tbl>
      <w:tblPr>
        <w:tblStyle w:val="Table"/>
        <w:tblW w:type="pct" w:w="0.0"/>
        <w:tblLook w:firstRow="1" w:lastRow="0" w:firstColumn="0" w:lastColumn="0" w:noHBand="0" w:noVBand="0" w:val="0020"/>
        <w:tblCaption w:val="Table 2: Summary of water quality variables collected from March to July 2021 in response to wastewater discharge from Piney Point. Variables are grouped by major areas interest for evaluating status and trends shown in Figure 1a. Summaries are median, maximum, and min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r>
      <w:tr>
        <w:tc>
          <w:p>
            <w:pPr>
              <w:pStyle w:val="Compact"/>
              <w:jc w:val="left"/>
            </w:pPr>
            <w:r>
              <w:t xml:space="preserve">1</w:t>
            </w:r>
          </w:p>
        </w:tc>
        <w:tc>
          <w:p>
            <w:pPr>
              <w:pStyle w:val="Compact"/>
              <w:jc w:val="left"/>
            </w:pPr>
            <w:r>
              <w:t xml:space="preserve">Chl-a (ug/L)</w:t>
            </w:r>
          </w:p>
        </w:tc>
        <w:tc>
          <w:p>
            <w:pPr>
              <w:pStyle w:val="Compact"/>
              <w:jc w:val="left"/>
            </w:pPr>
            <w:r>
              <w:t xml:space="preserve">4.5 (1.1, 265.01)</w:t>
            </w:r>
          </w:p>
        </w:tc>
        <w:tc>
          <w:p>
            <w:pPr>
              <w:pStyle w:val="Compact"/>
              <w:jc w:val="right"/>
            </w:pPr>
            <w:r>
              <w:t xml:space="preserve">440</w:t>
            </w:r>
          </w:p>
        </w:tc>
        <w:tc>
          <w:p>
            <w:pPr>
              <w:pStyle w:val="Compact"/>
              <w:jc w:val="right"/>
            </w:pPr>
            <w:r>
              <w:t xml:space="preserve">40.9</w:t>
            </w:r>
          </w:p>
        </w:tc>
        <w:tc>
          <w:p>
            <w:pPr>
              <w:pStyle w:val="Compact"/>
              <w:jc w:val="right"/>
            </w:pPr>
            <w:r>
              <w:t xml:space="preserve">50.7</w:t>
            </w:r>
          </w:p>
        </w:tc>
        <w:tc>
          <w:p>
            <w:pPr>
              <w:pStyle w:val="Compact"/>
              <w:jc w:val="right"/>
            </w:pPr>
            <w:r>
              <w:t xml:space="preserve">8.4</w:t>
            </w:r>
          </w:p>
        </w:tc>
      </w:tr>
      <w:tr>
        <w:tc>
          <w:p/>
        </w:tc>
        <w:tc>
          <w:p>
            <w:pPr>
              <w:pStyle w:val="Compact"/>
              <w:jc w:val="left"/>
            </w:pPr>
            <w:r>
              <w:t xml:space="preserve">DO (% sat.)</w:t>
            </w:r>
          </w:p>
        </w:tc>
        <w:tc>
          <w:p>
            <w:pPr>
              <w:pStyle w:val="Compact"/>
              <w:jc w:val="left"/>
            </w:pPr>
            <w:r>
              <w:t xml:space="preserve">98.4 (28.3, 215.3)</w:t>
            </w:r>
          </w:p>
        </w:tc>
        <w:tc>
          <w:p>
            <w:pPr>
              <w:pStyle w:val="Compact"/>
              <w:jc w:val="right"/>
            </w:pPr>
            <w:r>
              <w:t xml:space="preserve">386</w:t>
            </w:r>
          </w:p>
        </w:tc>
        <w:tc>
          <w:p>
            <w:pPr>
              <w:pStyle w:val="Compact"/>
              <w:jc w:val="right"/>
            </w:pPr>
            <w:r>
              <w:t xml:space="preserve">26.9</w:t>
            </w:r>
          </w:p>
        </w:tc>
        <w:tc>
          <w:p>
            <w:pPr>
              <w:pStyle w:val="Compact"/>
              <w:jc w:val="right"/>
            </w:pPr>
            <w:r>
              <w:t xml:space="preserve">49.7</w:t>
            </w:r>
          </w:p>
        </w:tc>
        <w:tc>
          <w:p>
            <w:pPr>
              <w:pStyle w:val="Compact"/>
              <w:jc w:val="right"/>
            </w:pPr>
            <w:r>
              <w:t xml:space="preserve">23.3</w:t>
            </w:r>
          </w:p>
        </w:tc>
      </w:tr>
      <w:tr>
        <w:tc>
          <w:p/>
        </w:tc>
        <w:tc>
          <w:p>
            <w:pPr>
              <w:pStyle w:val="Compact"/>
              <w:jc w:val="left"/>
            </w:pPr>
            <w:r>
              <w:t xml:space="preserve">NH3, NH4+ (mg/L)</w:t>
            </w:r>
          </w:p>
        </w:tc>
        <w:tc>
          <w:p>
            <w:pPr>
              <w:pStyle w:val="Compact"/>
              <w:jc w:val="left"/>
            </w:pPr>
            <w:r>
              <w:t xml:space="preserve">0.008 (0, 14.86)</w:t>
            </w:r>
          </w:p>
        </w:tc>
        <w:tc>
          <w:p>
            <w:pPr>
              <w:pStyle w:val="Compact"/>
              <w:jc w:val="right"/>
            </w:pPr>
            <w:r>
              <w:t xml:space="preserve">430</w:t>
            </w:r>
          </w:p>
        </w:tc>
        <w:tc>
          <w:p>
            <w:pPr>
              <w:pStyle w:val="Compact"/>
              <w:jc w:val="right"/>
            </w:pPr>
            <w:r>
              <w:t xml:space="preserve">50.2</w:t>
            </w:r>
          </w:p>
        </w:tc>
        <w:tc>
          <w:p>
            <w:pPr>
              <w:pStyle w:val="Compact"/>
              <w:jc w:val="right"/>
            </w:pPr>
            <w:r>
              <w:t xml:space="preserve">23.0</w:t>
            </w:r>
          </w:p>
        </w:tc>
        <w:tc>
          <w:p>
            <w:pPr>
              <w:pStyle w:val="Compact"/>
              <w:jc w:val="right"/>
            </w:pPr>
            <w:r>
              <w:t xml:space="preserve">26.7</w:t>
            </w:r>
          </w:p>
        </w:tc>
      </w:tr>
      <w:tr>
        <w:tc>
          <w:p/>
        </w:tc>
        <w:tc>
          <w:p>
            <w:pPr>
              <w:pStyle w:val="Compact"/>
              <w:jc w:val="left"/>
            </w:pPr>
            <w:r>
              <w:t xml:space="preserve">Nitrate/Nitrite (mg/L)</w:t>
            </w:r>
          </w:p>
        </w:tc>
        <w:tc>
          <w:p>
            <w:pPr>
              <w:pStyle w:val="Compact"/>
              <w:jc w:val="left"/>
            </w:pPr>
            <w:r>
              <w:t xml:space="preserve">0.01 (0, 0.14352)</w:t>
            </w:r>
          </w:p>
        </w:tc>
        <w:tc>
          <w:p>
            <w:pPr>
              <w:pStyle w:val="Compact"/>
              <w:jc w:val="right"/>
            </w:pPr>
            <w:r>
              <w:t xml:space="preserve">219</w:t>
            </w:r>
          </w:p>
        </w:tc>
        <w:tc>
          <w:p>
            <w:pPr>
              <w:pStyle w:val="Compact"/>
              <w:jc w:val="right"/>
            </w:pPr>
            <w:r>
              <w:t xml:space="preserve">47.5</w:t>
            </w:r>
          </w:p>
        </w:tc>
        <w:tc>
          <w:p>
            <w:pPr>
              <w:pStyle w:val="Compact"/>
              <w:jc w:val="right"/>
            </w:pPr>
            <w:r>
              <w:t xml:space="preserve">10.0</w:t>
            </w:r>
          </w:p>
        </w:tc>
        <w:tc>
          <w:p>
            <w:pPr>
              <w:pStyle w:val="Compact"/>
              <w:jc w:val="right"/>
            </w:pPr>
            <w:r>
              <w:t xml:space="preserve">42.5</w:t>
            </w:r>
          </w:p>
        </w:tc>
      </w:tr>
      <w:tr>
        <w:tc>
          <w:p/>
        </w:tc>
        <w:tc>
          <w:p>
            <w:pPr>
              <w:pStyle w:val="Compact"/>
              <w:jc w:val="left"/>
            </w:pPr>
            <w:r>
              <w:t xml:space="preserve">pH</w:t>
            </w:r>
          </w:p>
        </w:tc>
        <w:tc>
          <w:p>
            <w:pPr>
              <w:pStyle w:val="Compact"/>
              <w:jc w:val="left"/>
            </w:pPr>
            <w:r>
              <w:t xml:space="preserve">8.1 (7, 9.1)</w:t>
            </w:r>
          </w:p>
        </w:tc>
        <w:tc>
          <w:p>
            <w:pPr>
              <w:pStyle w:val="Compact"/>
              <w:jc w:val="right"/>
            </w:pPr>
            <w:r>
              <w:t xml:space="preserve">432</w:t>
            </w:r>
          </w:p>
        </w:tc>
        <w:tc>
          <w:p>
            <w:pPr>
              <w:pStyle w:val="Compact"/>
              <w:jc w:val="right"/>
            </w:pPr>
            <w:r>
              <w:t xml:space="preserve">47.2</w:t>
            </w:r>
          </w:p>
        </w:tc>
        <w:tc>
          <w:p>
            <w:pPr>
              <w:pStyle w:val="Compact"/>
              <w:jc w:val="right"/>
            </w:pPr>
            <w:r>
              <w:t xml:space="preserve">38.7</w:t>
            </w:r>
          </w:p>
        </w:tc>
        <w:tc>
          <w:p>
            <w:pPr>
              <w:pStyle w:val="Compact"/>
              <w:jc w:val="right"/>
            </w:pPr>
            <w:r>
              <w:t xml:space="preserve">14.1</w:t>
            </w:r>
          </w:p>
        </w:tc>
      </w:tr>
      <w:tr>
        <w:tc>
          <w:p/>
        </w:tc>
        <w:tc>
          <w:p>
            <w:pPr>
              <w:pStyle w:val="Compact"/>
              <w:jc w:val="left"/>
            </w:pPr>
            <w:r>
              <w:t xml:space="preserve">Sal (ppt)</w:t>
            </w:r>
          </w:p>
        </w:tc>
        <w:tc>
          <w:p>
            <w:pPr>
              <w:pStyle w:val="Compact"/>
              <w:jc w:val="left"/>
            </w:pPr>
            <w:r>
              <w:t xml:space="preserve">30.4 (12.9, 34.6)</w:t>
            </w:r>
          </w:p>
        </w:tc>
        <w:tc>
          <w:p>
            <w:pPr>
              <w:pStyle w:val="Compact"/>
              <w:jc w:val="right"/>
            </w:pPr>
            <w:r>
              <w:t xml:space="preserve">397</w:t>
            </w:r>
          </w:p>
        </w:tc>
        <w:tc>
          <w:p>
            <w:pPr>
              <w:pStyle w:val="Compact"/>
              <w:jc w:val="right"/>
            </w:pPr>
            <w:r>
              <w:t xml:space="preserve">84.1</w:t>
            </w:r>
          </w:p>
        </w:tc>
        <w:tc>
          <w:p>
            <w:pPr>
              <w:pStyle w:val="Compact"/>
              <w:jc w:val="right"/>
            </w:pPr>
            <w:r>
              <w:t xml:space="preserve">4.8</w:t>
            </w:r>
          </w:p>
        </w:tc>
        <w:tc>
          <w:p>
            <w:pPr>
              <w:pStyle w:val="Compact"/>
              <w:jc w:val="right"/>
            </w:pPr>
            <w:r>
              <w:t xml:space="preserve">11.1</w:t>
            </w:r>
          </w:p>
        </w:tc>
      </w:tr>
      <w:tr>
        <w:tc>
          <w:p/>
        </w:tc>
        <w:tc>
          <w:p>
            <w:pPr>
              <w:pStyle w:val="Compact"/>
              <w:jc w:val="left"/>
            </w:pPr>
            <w:r>
              <w:t xml:space="preserve">Secchi (m)</w:t>
            </w:r>
          </w:p>
        </w:tc>
        <w:tc>
          <w:p>
            <w:pPr>
              <w:pStyle w:val="Compact"/>
              <w:jc w:val="left"/>
            </w:pPr>
            <w:r>
              <w:t xml:space="preserve">2.4 (0.4, 9.5)</w:t>
            </w:r>
          </w:p>
        </w:tc>
        <w:tc>
          <w:p>
            <w:pPr>
              <w:pStyle w:val="Compact"/>
              <w:jc w:val="right"/>
            </w:pPr>
            <w:r>
              <w:t xml:space="preserve">289</w:t>
            </w:r>
          </w:p>
        </w:tc>
        <w:tc>
          <w:p>
            <w:pPr>
              <w:pStyle w:val="Compact"/>
              <w:jc w:val="right"/>
            </w:pPr>
            <w:r>
              <w:t xml:space="preserve">38.4</w:t>
            </w:r>
          </w:p>
        </w:tc>
        <w:tc>
          <w:p>
            <w:pPr>
              <w:pStyle w:val="Compact"/>
              <w:jc w:val="right"/>
            </w:pPr>
            <w:r>
              <w:t xml:space="preserve">15.2</w:t>
            </w:r>
          </w:p>
        </w:tc>
        <w:tc>
          <w:p>
            <w:pPr>
              <w:pStyle w:val="Compact"/>
              <w:jc w:val="right"/>
            </w:pPr>
            <w:r>
              <w:t xml:space="preserve">46.4</w:t>
            </w:r>
          </w:p>
        </w:tc>
      </w:tr>
      <w:tr>
        <w:tc>
          <w:p/>
        </w:tc>
        <w:tc>
          <w:p>
            <w:pPr>
              <w:pStyle w:val="Compact"/>
              <w:jc w:val="left"/>
            </w:pPr>
            <w:r>
              <w:t xml:space="preserve">Temp (C)</w:t>
            </w:r>
          </w:p>
        </w:tc>
        <w:tc>
          <w:p>
            <w:pPr>
              <w:pStyle w:val="Compact"/>
              <w:jc w:val="left"/>
            </w:pPr>
            <w:r>
              <w:t xml:space="preserve">25.3 (19.6, 32.9)</w:t>
            </w:r>
          </w:p>
        </w:tc>
        <w:tc>
          <w:p>
            <w:pPr>
              <w:pStyle w:val="Compact"/>
              <w:jc w:val="right"/>
            </w:pPr>
            <w:r>
              <w:t xml:space="preserve">398</w:t>
            </w:r>
          </w:p>
        </w:tc>
        <w:tc>
          <w:p>
            <w:pPr>
              <w:pStyle w:val="Compact"/>
              <w:jc w:val="right"/>
            </w:pPr>
            <w:r>
              <w:t xml:space="preserve">63.3</w:t>
            </w:r>
          </w:p>
        </w:tc>
        <w:tc>
          <w:p>
            <w:pPr>
              <w:pStyle w:val="Compact"/>
              <w:jc w:val="right"/>
            </w:pPr>
            <w:r>
              <w:t xml:space="preserve">19.6</w:t>
            </w:r>
          </w:p>
        </w:tc>
        <w:tc>
          <w:p>
            <w:pPr>
              <w:pStyle w:val="Compact"/>
              <w:jc w:val="right"/>
            </w:pPr>
            <w:r>
              <w:t xml:space="preserve">17.1</w:t>
            </w:r>
          </w:p>
        </w:tc>
      </w:tr>
      <w:tr>
        <w:tc>
          <w:p/>
        </w:tc>
        <w:tc>
          <w:p>
            <w:pPr>
              <w:pStyle w:val="Compact"/>
              <w:jc w:val="left"/>
            </w:pPr>
            <w:r>
              <w:t xml:space="preserve">TN (mg/L)</w:t>
            </w:r>
          </w:p>
        </w:tc>
        <w:tc>
          <w:p>
            <w:pPr>
              <w:pStyle w:val="Compact"/>
              <w:jc w:val="left"/>
            </w:pPr>
            <w:r>
              <w:t xml:space="preserve">0.42 (0.178, 5.6)</w:t>
            </w:r>
          </w:p>
        </w:tc>
        <w:tc>
          <w:p>
            <w:pPr>
              <w:pStyle w:val="Compact"/>
              <w:jc w:val="right"/>
            </w:pPr>
            <w:r>
              <w:t xml:space="preserve">371</w:t>
            </w:r>
          </w:p>
        </w:tc>
        <w:tc>
          <w:p>
            <w:pPr>
              <w:pStyle w:val="Compact"/>
              <w:jc w:val="right"/>
            </w:pPr>
            <w:r>
              <w:t xml:space="preserve">56.6</w:t>
            </w:r>
          </w:p>
        </w:tc>
        <w:tc>
          <w:p>
            <w:pPr>
              <w:pStyle w:val="Compact"/>
              <w:jc w:val="right"/>
            </w:pPr>
            <w:r>
              <w:t xml:space="preserve">39.9</w:t>
            </w:r>
          </w:p>
        </w:tc>
        <w:tc>
          <w:p>
            <w:pPr>
              <w:pStyle w:val="Compact"/>
              <w:jc w:val="right"/>
            </w:pPr>
            <w:r>
              <w:t xml:space="preserve">3.5</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439</w:t>
            </w:r>
          </w:p>
        </w:tc>
        <w:tc>
          <w:p>
            <w:pPr>
              <w:pStyle w:val="Compact"/>
              <w:jc w:val="right"/>
            </w:pPr>
            <w:r>
              <w:t xml:space="preserve">59.7</w:t>
            </w:r>
          </w:p>
        </w:tc>
        <w:tc>
          <w:p>
            <w:pPr>
              <w:pStyle w:val="Compact"/>
              <w:jc w:val="right"/>
            </w:pPr>
            <w:r>
              <w:t xml:space="preserve">29.6</w:t>
            </w:r>
          </w:p>
        </w:tc>
        <w:tc>
          <w:p>
            <w:pPr>
              <w:pStyle w:val="Compact"/>
              <w:jc w:val="right"/>
            </w:pPr>
            <w:r>
              <w:t xml:space="preserve">10.7</w:t>
            </w:r>
          </w:p>
        </w:tc>
      </w:tr>
      <w:tr>
        <w:tc>
          <w:p>
            <w:pPr>
              <w:pStyle w:val="Compact"/>
              <w:jc w:val="left"/>
            </w:pPr>
            <w:r>
              <w:t xml:space="preserve">2</w:t>
            </w:r>
          </w:p>
        </w:tc>
        <w:tc>
          <w:p>
            <w:pPr>
              <w:pStyle w:val="Compact"/>
              <w:jc w:val="left"/>
            </w:pPr>
            <w:r>
              <w:t xml:space="preserve">Chl-a (ug/L)</w:t>
            </w:r>
          </w:p>
        </w:tc>
        <w:tc>
          <w:p>
            <w:pPr>
              <w:pStyle w:val="Compact"/>
              <w:jc w:val="left"/>
            </w:pPr>
            <w:r>
              <w:t xml:space="preserve">2.5 (1.08, 42)</w:t>
            </w:r>
          </w:p>
        </w:tc>
        <w:tc>
          <w:p>
            <w:pPr>
              <w:pStyle w:val="Compact"/>
              <w:jc w:val="right"/>
            </w:pPr>
            <w:r>
              <w:t xml:space="preserve">66</w:t>
            </w:r>
          </w:p>
        </w:tc>
        <w:tc>
          <w:p>
            <w:pPr>
              <w:pStyle w:val="Compact"/>
              <w:jc w:val="right"/>
            </w:pPr>
            <w:r>
              <w:t xml:space="preserve">63.6</w:t>
            </w:r>
          </w:p>
        </w:tc>
        <w:tc>
          <w:p>
            <w:pPr>
              <w:pStyle w:val="Compact"/>
              <w:jc w:val="right"/>
            </w:pPr>
            <w:r>
              <w:t xml:space="preserve">9.1</w:t>
            </w:r>
          </w:p>
        </w:tc>
        <w:tc>
          <w:p>
            <w:pPr>
              <w:pStyle w:val="Compact"/>
              <w:jc w:val="right"/>
            </w:pPr>
            <w:r>
              <w:t xml:space="preserve">27.3</w:t>
            </w:r>
          </w:p>
        </w:tc>
      </w:tr>
      <w:tr>
        <w:tc>
          <w:p/>
        </w:tc>
        <w:tc>
          <w:p>
            <w:pPr>
              <w:pStyle w:val="Compact"/>
              <w:jc w:val="left"/>
            </w:pPr>
            <w:r>
              <w:t xml:space="preserve">DO (% sat.)</w:t>
            </w:r>
          </w:p>
        </w:tc>
        <w:tc>
          <w:p>
            <w:pPr>
              <w:pStyle w:val="Compact"/>
              <w:jc w:val="left"/>
            </w:pPr>
            <w:r>
              <w:t xml:space="preserve">96.8 (60.6, 153.3)</w:t>
            </w:r>
          </w:p>
        </w:tc>
        <w:tc>
          <w:p>
            <w:pPr>
              <w:pStyle w:val="Compact"/>
              <w:jc w:val="right"/>
            </w:pPr>
            <w:r>
              <w:t xml:space="preserve">63</w:t>
            </w:r>
          </w:p>
        </w:tc>
        <w:tc>
          <w:p>
            <w:pPr>
              <w:pStyle w:val="Compact"/>
              <w:jc w:val="right"/>
            </w:pPr>
            <w:r>
              <w:t xml:space="preserve">39.7</w:t>
            </w:r>
          </w:p>
        </w:tc>
        <w:tc>
          <w:p>
            <w:pPr>
              <w:pStyle w:val="Compact"/>
              <w:jc w:val="right"/>
            </w:pPr>
            <w:r>
              <w:t xml:space="preserve">47.6</w:t>
            </w:r>
          </w:p>
        </w:tc>
        <w:tc>
          <w:p>
            <w:pPr>
              <w:pStyle w:val="Compact"/>
              <w:jc w:val="right"/>
            </w:pPr>
            <w:r>
              <w:t xml:space="preserve">12.7</w:t>
            </w:r>
          </w:p>
        </w:tc>
      </w:tr>
      <w:tr>
        <w:tc>
          <w:p/>
        </w:tc>
        <w:tc>
          <w:p>
            <w:pPr>
              <w:pStyle w:val="Compact"/>
              <w:jc w:val="left"/>
            </w:pPr>
            <w:r>
              <w:t xml:space="preserve">NH3, NH4+ (mg/L)</w:t>
            </w:r>
          </w:p>
        </w:tc>
        <w:tc>
          <w:p>
            <w:pPr>
              <w:pStyle w:val="Compact"/>
              <w:jc w:val="left"/>
            </w:pPr>
            <w:r>
              <w:t xml:space="preserve">0.005 (0.002, 0.035)</w:t>
            </w:r>
          </w:p>
        </w:tc>
        <w:tc>
          <w:p>
            <w:pPr>
              <w:pStyle w:val="Compact"/>
              <w:jc w:val="right"/>
            </w:pPr>
            <w:r>
              <w:t xml:space="preserve">62</w:t>
            </w:r>
          </w:p>
        </w:tc>
        <w:tc>
          <w:p>
            <w:pPr>
              <w:pStyle w:val="Compact"/>
              <w:jc w:val="right"/>
            </w:pPr>
            <w:r>
              <w:t xml:space="preserve">74.2</w:t>
            </w:r>
          </w:p>
        </w:tc>
        <w:tc>
          <w:p>
            <w:pPr>
              <w:pStyle w:val="Compact"/>
              <w:jc w:val="right"/>
            </w:pPr>
            <w:r>
              <w:t xml:space="preserve">0.0</w:t>
            </w:r>
          </w:p>
        </w:tc>
        <w:tc>
          <w:p>
            <w:pPr>
              <w:pStyle w:val="Compact"/>
              <w:jc w:val="right"/>
            </w:pPr>
            <w:r>
              <w:t xml:space="preserve">25.8</w:t>
            </w:r>
          </w:p>
        </w:tc>
      </w:tr>
      <w:tr>
        <w:tc>
          <w:p/>
        </w:tc>
        <w:tc>
          <w:p>
            <w:pPr>
              <w:pStyle w:val="Compact"/>
              <w:jc w:val="left"/>
            </w:pPr>
            <w:r>
              <w:t xml:space="preserve">Nitrate/Nitrite (mg/L)</w:t>
            </w:r>
          </w:p>
        </w:tc>
        <w:tc>
          <w:p>
            <w:pPr>
              <w:pStyle w:val="Compact"/>
              <w:jc w:val="left"/>
            </w:pPr>
            <w:r>
              <w:t xml:space="preserve">0.01 (0.00078, 0.014)</w:t>
            </w:r>
          </w:p>
        </w:tc>
        <w:tc>
          <w:p>
            <w:pPr>
              <w:pStyle w:val="Compact"/>
              <w:jc w:val="right"/>
            </w:pPr>
            <w:r>
              <w:t xml:space="preserve">41</w:t>
            </w:r>
          </w:p>
        </w:tc>
        <w:tc>
          <w:p>
            <w:pPr>
              <w:pStyle w:val="Compact"/>
              <w:jc w:val="right"/>
            </w:pPr>
            <w:r>
              <w:t xml:space="preserve">90.2</w:t>
            </w:r>
          </w:p>
        </w:tc>
        <w:tc>
          <w:p>
            <w:pPr>
              <w:pStyle w:val="Compact"/>
              <w:jc w:val="right"/>
            </w:pPr>
            <w:r>
              <w:t xml:space="preserve">2.4</w:t>
            </w:r>
          </w:p>
        </w:tc>
        <w:tc>
          <w:p>
            <w:pPr>
              <w:pStyle w:val="Compact"/>
              <w:jc w:val="right"/>
            </w:pPr>
            <w:r>
              <w:t xml:space="preserve">7.3</w:t>
            </w:r>
          </w:p>
        </w:tc>
      </w:tr>
      <w:tr>
        <w:tc>
          <w:p/>
        </w:tc>
        <w:tc>
          <w:p>
            <w:pPr>
              <w:pStyle w:val="Compact"/>
              <w:jc w:val="left"/>
            </w:pPr>
            <w:r>
              <w:t xml:space="preserve">pH</w:t>
            </w:r>
          </w:p>
        </w:tc>
        <w:tc>
          <w:p>
            <w:pPr>
              <w:pStyle w:val="Compact"/>
              <w:jc w:val="left"/>
            </w:pPr>
            <w:r>
              <w:t xml:space="preserve">8 (7.3, 8.5)</w:t>
            </w:r>
          </w:p>
        </w:tc>
        <w:tc>
          <w:p>
            <w:pPr>
              <w:pStyle w:val="Compact"/>
              <w:jc w:val="right"/>
            </w:pPr>
            <w:r>
              <w:t xml:space="preserve">82</w:t>
            </w:r>
          </w:p>
        </w:tc>
        <w:tc>
          <w:p>
            <w:pPr>
              <w:pStyle w:val="Compact"/>
              <w:jc w:val="right"/>
            </w:pPr>
            <w:r>
              <w:t xml:space="preserve">67.1</w:t>
            </w:r>
          </w:p>
        </w:tc>
        <w:tc>
          <w:p>
            <w:pPr>
              <w:pStyle w:val="Compact"/>
              <w:jc w:val="right"/>
            </w:pPr>
            <w:r>
              <w:t xml:space="preserve">18.3</w:t>
            </w:r>
          </w:p>
        </w:tc>
        <w:tc>
          <w:p>
            <w:pPr>
              <w:pStyle w:val="Compact"/>
              <w:jc w:val="right"/>
            </w:pPr>
            <w:r>
              <w:t xml:space="preserve">14.6</w:t>
            </w:r>
          </w:p>
        </w:tc>
      </w:tr>
      <w:tr>
        <w:tc>
          <w:p/>
        </w:tc>
        <w:tc>
          <w:p>
            <w:pPr>
              <w:pStyle w:val="Compact"/>
              <w:jc w:val="left"/>
            </w:pPr>
            <w:r>
              <w:t xml:space="preserve">Sal (ppt)</w:t>
            </w:r>
          </w:p>
        </w:tc>
        <w:tc>
          <w:p>
            <w:pPr>
              <w:pStyle w:val="Compact"/>
              <w:jc w:val="left"/>
            </w:pPr>
            <w:r>
              <w:t xml:space="preserve">27.6 (22.3, 32.3)</w:t>
            </w:r>
          </w:p>
        </w:tc>
        <w:tc>
          <w:p>
            <w:pPr>
              <w:pStyle w:val="Compact"/>
              <w:jc w:val="right"/>
            </w:pPr>
            <w:r>
              <w:t xml:space="preserve">63</w:t>
            </w:r>
          </w:p>
        </w:tc>
        <w:tc>
          <w:p>
            <w:pPr>
              <w:pStyle w:val="Compact"/>
              <w:jc w:val="right"/>
            </w:pPr>
            <w:r>
              <w:t xml:space="preserve">93.7</w:t>
            </w:r>
          </w:p>
        </w:tc>
        <w:tc>
          <w:p>
            <w:pPr>
              <w:pStyle w:val="Compact"/>
              <w:jc w:val="right"/>
            </w:pPr>
            <w:r>
              <w:t xml:space="preserve">0.0</w:t>
            </w:r>
          </w:p>
        </w:tc>
        <w:tc>
          <w:p>
            <w:pPr>
              <w:pStyle w:val="Compact"/>
              <w:jc w:val="right"/>
            </w:pPr>
            <w:r>
              <w:t xml:space="preserve">6.3</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33</w:t>
            </w:r>
          </w:p>
        </w:tc>
        <w:tc>
          <w:p>
            <w:pPr>
              <w:pStyle w:val="Compact"/>
              <w:jc w:val="right"/>
            </w:pPr>
            <w:r>
              <w:t xml:space="preserve">69.7</w:t>
            </w:r>
          </w:p>
        </w:tc>
        <w:tc>
          <w:p>
            <w:pPr>
              <w:pStyle w:val="Compact"/>
              <w:jc w:val="right"/>
            </w:pPr>
            <w:r>
              <w:t xml:space="preserve">6.1</w:t>
            </w:r>
          </w:p>
        </w:tc>
        <w:tc>
          <w:p>
            <w:pPr>
              <w:pStyle w:val="Compact"/>
              <w:jc w:val="right"/>
            </w:pPr>
            <w:r>
              <w:t xml:space="preserve">24.2</w:t>
            </w:r>
          </w:p>
        </w:tc>
      </w:tr>
      <w:tr>
        <w:tc>
          <w:p/>
        </w:tc>
        <w:tc>
          <w:p>
            <w:pPr>
              <w:pStyle w:val="Compact"/>
              <w:jc w:val="left"/>
            </w:pPr>
            <w:r>
              <w:t xml:space="preserve">Temp (C)</w:t>
            </w:r>
          </w:p>
        </w:tc>
        <w:tc>
          <w:p>
            <w:pPr>
              <w:pStyle w:val="Compact"/>
              <w:jc w:val="left"/>
            </w:pPr>
            <w:r>
              <w:t xml:space="preserve">25 (19.9, 31.6)</w:t>
            </w:r>
          </w:p>
        </w:tc>
        <w:tc>
          <w:p>
            <w:pPr>
              <w:pStyle w:val="Compact"/>
              <w:jc w:val="right"/>
            </w:pPr>
            <w:r>
              <w:t xml:space="preserve">63</w:t>
            </w:r>
          </w:p>
        </w:tc>
        <w:tc>
          <w:p>
            <w:pPr>
              <w:pStyle w:val="Compact"/>
              <w:jc w:val="right"/>
            </w:pPr>
            <w:r>
              <w:t xml:space="preserve">69.8</w:t>
            </w:r>
          </w:p>
        </w:tc>
        <w:tc>
          <w:p>
            <w:pPr>
              <w:pStyle w:val="Compact"/>
              <w:jc w:val="right"/>
            </w:pPr>
            <w:r>
              <w:t xml:space="preserve">7.9</w:t>
            </w:r>
          </w:p>
        </w:tc>
        <w:tc>
          <w:p>
            <w:pPr>
              <w:pStyle w:val="Compact"/>
              <w:jc w:val="right"/>
            </w:pPr>
            <w:r>
              <w:t xml:space="preserve">22.2</w:t>
            </w:r>
          </w:p>
        </w:tc>
      </w:tr>
      <w:tr>
        <w:tc>
          <w:p/>
        </w:tc>
        <w:tc>
          <w:p>
            <w:pPr>
              <w:pStyle w:val="Compact"/>
              <w:jc w:val="left"/>
            </w:pPr>
            <w:r>
              <w:t xml:space="preserve">TN (mg/L)</w:t>
            </w:r>
          </w:p>
        </w:tc>
        <w:tc>
          <w:p>
            <w:pPr>
              <w:pStyle w:val="Compact"/>
              <w:jc w:val="left"/>
            </w:pPr>
            <w:r>
              <w:t xml:space="preserve">0.35 (0.068, 1.13)</w:t>
            </w:r>
          </w:p>
        </w:tc>
        <w:tc>
          <w:p>
            <w:pPr>
              <w:pStyle w:val="Compact"/>
              <w:jc w:val="right"/>
            </w:pPr>
            <w:r>
              <w:t xml:space="preserve">49</w:t>
            </w:r>
          </w:p>
        </w:tc>
        <w:tc>
          <w:p>
            <w:pPr>
              <w:pStyle w:val="Compact"/>
              <w:jc w:val="right"/>
            </w:pPr>
            <w:r>
              <w:t xml:space="preserve">71.4</w:t>
            </w:r>
          </w:p>
        </w:tc>
        <w:tc>
          <w:p>
            <w:pPr>
              <w:pStyle w:val="Compact"/>
              <w:jc w:val="right"/>
            </w:pPr>
            <w:r>
              <w:t xml:space="preserve">12.2</w:t>
            </w:r>
          </w:p>
        </w:tc>
        <w:tc>
          <w:p>
            <w:pPr>
              <w:pStyle w:val="Compact"/>
              <w:jc w:val="right"/>
            </w:pPr>
            <w:r>
              <w:t xml:space="preserve">16.3</w:t>
            </w:r>
          </w:p>
        </w:tc>
      </w:tr>
      <w:tr>
        <w:tc>
          <w:p/>
        </w:tc>
        <w:tc>
          <w:p>
            <w:pPr>
              <w:pStyle w:val="Compact"/>
              <w:jc w:val="left"/>
            </w:pPr>
            <w:r>
              <w:t xml:space="preserve">TP (mg/L)</w:t>
            </w:r>
          </w:p>
        </w:tc>
        <w:tc>
          <w:p>
            <w:pPr>
              <w:pStyle w:val="Compact"/>
              <w:jc w:val="left"/>
            </w:pPr>
            <w:r>
              <w:t xml:space="preserve">0.096 (0.05, 0.235)</w:t>
            </w:r>
          </w:p>
        </w:tc>
        <w:tc>
          <w:p>
            <w:pPr>
              <w:pStyle w:val="Compact"/>
              <w:jc w:val="right"/>
            </w:pPr>
            <w:r>
              <w:t xml:space="preserve">55</w:t>
            </w:r>
          </w:p>
        </w:tc>
        <w:tc>
          <w:p>
            <w:pPr>
              <w:pStyle w:val="Compact"/>
              <w:jc w:val="right"/>
            </w:pPr>
            <w:r>
              <w:t xml:space="preserve">20.0</w:t>
            </w:r>
          </w:p>
        </w:tc>
        <w:tc>
          <w:p>
            <w:pPr>
              <w:pStyle w:val="Compact"/>
              <w:jc w:val="right"/>
            </w:pPr>
            <w:r>
              <w:t xml:space="preserve">18.2</w:t>
            </w:r>
          </w:p>
        </w:tc>
        <w:tc>
          <w:p>
            <w:pPr>
              <w:pStyle w:val="Compact"/>
              <w:jc w:val="right"/>
            </w:pPr>
            <w:r>
              <w:t xml:space="preserve">61.8</w:t>
            </w:r>
          </w:p>
        </w:tc>
      </w:tr>
      <w:tr>
        <w:tc>
          <w:p>
            <w:pPr>
              <w:pStyle w:val="Compact"/>
              <w:jc w:val="left"/>
            </w:pPr>
            <w:r>
              <w:t xml:space="preserve">3</w:t>
            </w:r>
          </w:p>
        </w:tc>
        <w:tc>
          <w:p>
            <w:pPr>
              <w:pStyle w:val="Compact"/>
              <w:jc w:val="left"/>
            </w:pPr>
            <w:r>
              <w:t xml:space="preserve">Chl-a (ug/L)</w:t>
            </w:r>
          </w:p>
        </w:tc>
        <w:tc>
          <w:p>
            <w:pPr>
              <w:pStyle w:val="Compact"/>
              <w:jc w:val="left"/>
            </w:pPr>
            <w:r>
              <w:t xml:space="preserve">2.7 (0.93, 25.9)</w:t>
            </w:r>
          </w:p>
        </w:tc>
        <w:tc>
          <w:p>
            <w:pPr>
              <w:pStyle w:val="Compact"/>
              <w:jc w:val="right"/>
            </w:pPr>
            <w:r>
              <w:t xml:space="preserve">221</w:t>
            </w:r>
          </w:p>
        </w:tc>
        <w:tc>
          <w:p>
            <w:pPr>
              <w:pStyle w:val="Compact"/>
              <w:jc w:val="right"/>
            </w:pPr>
            <w:r>
              <w:t xml:space="preserve">66.1</w:t>
            </w:r>
          </w:p>
        </w:tc>
        <w:tc>
          <w:p>
            <w:pPr>
              <w:pStyle w:val="Compact"/>
              <w:jc w:val="right"/>
            </w:pPr>
            <w:r>
              <w:t xml:space="preserve">24.0</w:t>
            </w:r>
          </w:p>
        </w:tc>
        <w:tc>
          <w:p>
            <w:pPr>
              <w:pStyle w:val="Compact"/>
              <w:jc w:val="right"/>
            </w:pPr>
            <w:r>
              <w:t xml:space="preserve">10.0</w:t>
            </w:r>
          </w:p>
        </w:tc>
      </w:tr>
      <w:tr>
        <w:tc>
          <w:p/>
        </w:tc>
        <w:tc>
          <w:p>
            <w:pPr>
              <w:pStyle w:val="Compact"/>
              <w:jc w:val="left"/>
            </w:pPr>
            <w:r>
              <w:t xml:space="preserve">DO (% sat.)</w:t>
            </w:r>
          </w:p>
        </w:tc>
        <w:tc>
          <w:p>
            <w:pPr>
              <w:pStyle w:val="Compact"/>
              <w:jc w:val="left"/>
            </w:pPr>
            <w:r>
              <w:t xml:space="preserve">99 (42.4, 229.9)</w:t>
            </w:r>
          </w:p>
        </w:tc>
        <w:tc>
          <w:p>
            <w:pPr>
              <w:pStyle w:val="Compact"/>
              <w:jc w:val="right"/>
            </w:pPr>
            <w:r>
              <w:t xml:space="preserve">197</w:t>
            </w:r>
          </w:p>
        </w:tc>
        <w:tc>
          <w:p>
            <w:pPr>
              <w:pStyle w:val="Compact"/>
              <w:jc w:val="right"/>
            </w:pPr>
            <w:r>
              <w:t xml:space="preserve">52.3</w:t>
            </w:r>
          </w:p>
        </w:tc>
        <w:tc>
          <w:p>
            <w:pPr>
              <w:pStyle w:val="Compact"/>
              <w:jc w:val="right"/>
            </w:pPr>
            <w:r>
              <w:t xml:space="preserve">25.9</w:t>
            </w:r>
          </w:p>
        </w:tc>
        <w:tc>
          <w:p>
            <w:pPr>
              <w:pStyle w:val="Compact"/>
              <w:jc w:val="right"/>
            </w:pPr>
            <w:r>
              <w:t xml:space="preserve">21.8</w:t>
            </w:r>
          </w:p>
        </w:tc>
      </w:tr>
      <w:tr>
        <w:tc>
          <w:p/>
        </w:tc>
        <w:tc>
          <w:p>
            <w:pPr>
              <w:pStyle w:val="Compact"/>
              <w:jc w:val="left"/>
            </w:pPr>
            <w:r>
              <w:t xml:space="preserve">NH3, NH4+ (mg/L)</w:t>
            </w:r>
          </w:p>
        </w:tc>
        <w:tc>
          <w:p>
            <w:pPr>
              <w:pStyle w:val="Compact"/>
              <w:jc w:val="left"/>
            </w:pPr>
            <w:r>
              <w:t xml:space="preserve">0.008 (0.002, 0.041)</w:t>
            </w:r>
          </w:p>
        </w:tc>
        <w:tc>
          <w:p>
            <w:pPr>
              <w:pStyle w:val="Compact"/>
              <w:jc w:val="right"/>
            </w:pPr>
            <w:r>
              <w:t xml:space="preserve">206</w:t>
            </w:r>
          </w:p>
        </w:tc>
        <w:tc>
          <w:p>
            <w:pPr>
              <w:pStyle w:val="Compact"/>
              <w:jc w:val="right"/>
            </w:pPr>
            <w:r>
              <w:t xml:space="preserve">56.3</w:t>
            </w:r>
          </w:p>
        </w:tc>
        <w:tc>
          <w:p>
            <w:pPr>
              <w:pStyle w:val="Compact"/>
              <w:jc w:val="right"/>
            </w:pPr>
            <w:r>
              <w:t xml:space="preserve">0.5</w:t>
            </w:r>
          </w:p>
        </w:tc>
        <w:tc>
          <w:p>
            <w:pPr>
              <w:pStyle w:val="Compact"/>
              <w:jc w:val="right"/>
            </w:pPr>
            <w:r>
              <w:t xml:space="preserve">43.2</w:t>
            </w:r>
          </w:p>
        </w:tc>
      </w:tr>
      <w:tr>
        <w:tc>
          <w:p/>
        </w:tc>
        <w:tc>
          <w:p>
            <w:pPr>
              <w:pStyle w:val="Compact"/>
              <w:jc w:val="left"/>
            </w:pPr>
            <w:r>
              <w:t xml:space="preserve">Nitrate/Nitrite (mg/L)</w:t>
            </w:r>
          </w:p>
        </w:tc>
        <w:tc>
          <w:p>
            <w:pPr>
              <w:pStyle w:val="Compact"/>
              <w:jc w:val="left"/>
            </w:pPr>
            <w:r>
              <w:t xml:space="preserve">0.01 (0.00078, 0.043)</w:t>
            </w:r>
          </w:p>
        </w:tc>
        <w:tc>
          <w:p>
            <w:pPr>
              <w:pStyle w:val="Compact"/>
              <w:jc w:val="right"/>
            </w:pPr>
            <w:r>
              <w:t xml:space="preserve">146</w:t>
            </w:r>
          </w:p>
        </w:tc>
        <w:tc>
          <w:p>
            <w:pPr>
              <w:pStyle w:val="Compact"/>
              <w:jc w:val="right"/>
            </w:pPr>
            <w:r>
              <w:t xml:space="preserve">59.6</w:t>
            </w:r>
          </w:p>
        </w:tc>
        <w:tc>
          <w:p>
            <w:pPr>
              <w:pStyle w:val="Compact"/>
              <w:jc w:val="right"/>
            </w:pPr>
            <w:r>
              <w:t xml:space="preserve">6.2</w:t>
            </w:r>
          </w:p>
        </w:tc>
        <w:tc>
          <w:p>
            <w:pPr>
              <w:pStyle w:val="Compact"/>
              <w:jc w:val="right"/>
            </w:pPr>
            <w:r>
              <w:t xml:space="preserve">34.2</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220</w:t>
            </w:r>
          </w:p>
        </w:tc>
        <w:tc>
          <w:p>
            <w:pPr>
              <w:pStyle w:val="Compact"/>
              <w:jc w:val="right"/>
            </w:pPr>
            <w:r>
              <w:t xml:space="preserve">62.3</w:t>
            </w:r>
          </w:p>
        </w:tc>
        <w:tc>
          <w:p>
            <w:pPr>
              <w:pStyle w:val="Compact"/>
              <w:jc w:val="right"/>
            </w:pPr>
            <w:r>
              <w:t xml:space="preserve">29.5</w:t>
            </w:r>
          </w:p>
        </w:tc>
        <w:tc>
          <w:p>
            <w:pPr>
              <w:pStyle w:val="Compact"/>
              <w:jc w:val="right"/>
            </w:pPr>
            <w:r>
              <w:t xml:space="preserve">8.2</w:t>
            </w:r>
          </w:p>
        </w:tc>
      </w:tr>
      <w:tr>
        <w:tc>
          <w:p/>
        </w:tc>
        <w:tc>
          <w:p>
            <w:pPr>
              <w:pStyle w:val="Compact"/>
              <w:jc w:val="left"/>
            </w:pPr>
            <w:r>
              <w:t xml:space="preserve">Sal (ppt)</w:t>
            </w:r>
          </w:p>
        </w:tc>
        <w:tc>
          <w:p>
            <w:pPr>
              <w:pStyle w:val="Compact"/>
              <w:jc w:val="left"/>
            </w:pPr>
            <w:r>
              <w:t xml:space="preserve">32.1 (1.4, 36.5)</w:t>
            </w:r>
          </w:p>
        </w:tc>
        <w:tc>
          <w:p>
            <w:pPr>
              <w:pStyle w:val="Compact"/>
              <w:jc w:val="right"/>
            </w:pPr>
            <w:r>
              <w:t xml:space="preserve">255</w:t>
            </w:r>
          </w:p>
        </w:tc>
        <w:tc>
          <w:p>
            <w:pPr>
              <w:pStyle w:val="Compact"/>
              <w:jc w:val="right"/>
            </w:pPr>
            <w:r>
              <w:t xml:space="preserve">81.6</w:t>
            </w:r>
          </w:p>
        </w:tc>
        <w:tc>
          <w:p>
            <w:pPr>
              <w:pStyle w:val="Compact"/>
              <w:jc w:val="right"/>
            </w:pPr>
            <w:r>
              <w:t xml:space="preserve">8.6</w:t>
            </w:r>
          </w:p>
        </w:tc>
        <w:tc>
          <w:p>
            <w:pPr>
              <w:pStyle w:val="Compact"/>
              <w:jc w:val="right"/>
            </w:pPr>
            <w:r>
              <w:t xml:space="preserve">9.8</w:t>
            </w:r>
          </w:p>
        </w:tc>
      </w:tr>
      <w:tr>
        <w:tc>
          <w:p/>
        </w:tc>
        <w:tc>
          <w:p>
            <w:pPr>
              <w:pStyle w:val="Compact"/>
              <w:jc w:val="left"/>
            </w:pPr>
            <w:r>
              <w:t xml:space="preserve">Secchi (m)</w:t>
            </w:r>
          </w:p>
        </w:tc>
        <w:tc>
          <w:p>
            <w:pPr>
              <w:pStyle w:val="Compact"/>
              <w:jc w:val="left"/>
            </w:pPr>
            <w:r>
              <w:t xml:space="preserve">2 (0.2, 5.1)</w:t>
            </w:r>
          </w:p>
        </w:tc>
        <w:tc>
          <w:p>
            <w:pPr>
              <w:pStyle w:val="Compact"/>
              <w:jc w:val="right"/>
            </w:pPr>
            <w:r>
              <w:t xml:space="preserve">193</w:t>
            </w:r>
          </w:p>
        </w:tc>
        <w:tc>
          <w:p>
            <w:pPr>
              <w:pStyle w:val="Compact"/>
              <w:jc w:val="right"/>
            </w:pPr>
            <w:r>
              <w:t xml:space="preserve">43.0</w:t>
            </w:r>
          </w:p>
        </w:tc>
        <w:tc>
          <w:p>
            <w:pPr>
              <w:pStyle w:val="Compact"/>
              <w:jc w:val="right"/>
            </w:pPr>
            <w:r>
              <w:t xml:space="preserve">13.5</w:t>
            </w:r>
          </w:p>
        </w:tc>
        <w:tc>
          <w:p>
            <w:pPr>
              <w:pStyle w:val="Compact"/>
              <w:jc w:val="right"/>
            </w:pPr>
            <w:r>
              <w:t xml:space="preserve">43.5</w:t>
            </w:r>
          </w:p>
        </w:tc>
      </w:tr>
      <w:tr>
        <w:tc>
          <w:p/>
        </w:tc>
        <w:tc>
          <w:p>
            <w:pPr>
              <w:pStyle w:val="Compact"/>
              <w:jc w:val="left"/>
            </w:pPr>
            <w:r>
              <w:t xml:space="preserve">Temp (C)</w:t>
            </w:r>
          </w:p>
        </w:tc>
        <w:tc>
          <w:p>
            <w:pPr>
              <w:pStyle w:val="Compact"/>
              <w:jc w:val="left"/>
            </w:pPr>
            <w:r>
              <w:t xml:space="preserve">25.8 (19.6, 32.1)</w:t>
            </w:r>
          </w:p>
        </w:tc>
        <w:tc>
          <w:p>
            <w:pPr>
              <w:pStyle w:val="Compact"/>
              <w:jc w:val="right"/>
            </w:pPr>
            <w:r>
              <w:t xml:space="preserve">255</w:t>
            </w:r>
          </w:p>
        </w:tc>
        <w:tc>
          <w:p>
            <w:pPr>
              <w:pStyle w:val="Compact"/>
              <w:jc w:val="right"/>
            </w:pPr>
            <w:r>
              <w:t xml:space="preserve">58.8</w:t>
            </w:r>
          </w:p>
        </w:tc>
        <w:tc>
          <w:p>
            <w:pPr>
              <w:pStyle w:val="Compact"/>
              <w:jc w:val="right"/>
            </w:pPr>
            <w:r>
              <w:t xml:space="preserve">16.1</w:t>
            </w:r>
          </w:p>
        </w:tc>
        <w:tc>
          <w:p>
            <w:pPr>
              <w:pStyle w:val="Compact"/>
              <w:jc w:val="right"/>
            </w:pPr>
            <w:r>
              <w:t xml:space="preserve">25.1</w:t>
            </w:r>
          </w:p>
        </w:tc>
      </w:tr>
      <w:tr>
        <w:tc>
          <w:p/>
        </w:tc>
        <w:tc>
          <w:p>
            <w:pPr>
              <w:pStyle w:val="Compact"/>
              <w:jc w:val="left"/>
            </w:pPr>
            <w:r>
              <w:t xml:space="preserve">TN (mg/L)</w:t>
            </w:r>
          </w:p>
        </w:tc>
        <w:tc>
          <w:p>
            <w:pPr>
              <w:pStyle w:val="Compact"/>
              <w:jc w:val="left"/>
            </w:pPr>
            <w:r>
              <w:t xml:space="preserve">0.334 (0.152, 1.78)</w:t>
            </w:r>
          </w:p>
        </w:tc>
        <w:tc>
          <w:p>
            <w:pPr>
              <w:pStyle w:val="Compact"/>
              <w:jc w:val="right"/>
            </w:pPr>
            <w:r>
              <w:t xml:space="preserve">209</w:t>
            </w:r>
          </w:p>
        </w:tc>
        <w:tc>
          <w:p>
            <w:pPr>
              <w:pStyle w:val="Compact"/>
              <w:jc w:val="right"/>
            </w:pPr>
            <w:r>
              <w:t xml:space="preserve">73.2</w:t>
            </w:r>
          </w:p>
        </w:tc>
        <w:tc>
          <w:p>
            <w:pPr>
              <w:pStyle w:val="Compact"/>
              <w:jc w:val="right"/>
            </w:pPr>
            <w:r>
              <w:t xml:space="preserve">23.4</w:t>
            </w:r>
          </w:p>
        </w:tc>
        <w:tc>
          <w:p>
            <w:pPr>
              <w:pStyle w:val="Compact"/>
              <w:jc w:val="right"/>
            </w:pPr>
            <w:r>
              <w:t xml:space="preserve">3.3</w:t>
            </w:r>
          </w:p>
        </w:tc>
      </w:tr>
      <w:tr>
        <w:tc>
          <w:p/>
        </w:tc>
        <w:tc>
          <w:p>
            <w:pPr>
              <w:pStyle w:val="Compact"/>
              <w:jc w:val="left"/>
            </w:pPr>
            <w:r>
              <w:t xml:space="preserve">TP (mg/L)</w:t>
            </w:r>
          </w:p>
        </w:tc>
        <w:tc>
          <w:p>
            <w:pPr>
              <w:pStyle w:val="Compact"/>
              <w:jc w:val="left"/>
            </w:pPr>
            <w:r>
              <w:t xml:space="preserve">0.061 (0.019, 0.589)</w:t>
            </w:r>
          </w:p>
        </w:tc>
        <w:tc>
          <w:p>
            <w:pPr>
              <w:pStyle w:val="Compact"/>
              <w:jc w:val="right"/>
            </w:pPr>
            <w:r>
              <w:t xml:space="preserve">223</w:t>
            </w:r>
          </w:p>
        </w:tc>
        <w:tc>
          <w:p>
            <w:pPr>
              <w:pStyle w:val="Compact"/>
              <w:jc w:val="right"/>
            </w:pPr>
            <w:r>
              <w:t xml:space="preserve">71.3</w:t>
            </w:r>
          </w:p>
        </w:tc>
        <w:tc>
          <w:p>
            <w:pPr>
              <w:pStyle w:val="Compact"/>
              <w:jc w:val="right"/>
            </w:pPr>
            <w:r>
              <w:t xml:space="preserve">17.0</w:t>
            </w:r>
          </w:p>
        </w:tc>
        <w:tc>
          <w:p>
            <w:pPr>
              <w:pStyle w:val="Compact"/>
              <w:jc w:val="right"/>
            </w:pPr>
            <w:r>
              <w:t xml:space="preserve">11.7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Probability values were adjusted for the pairwise comparisons using the Bonferroni method in Holm (1979). ** p &lt; 0.005, * p &lt; 0.05, blank is not signif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26.1**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16</w:t>
            </w:r>
          </w:p>
        </w:tc>
        <w:tc>
          <w:p>
            <w:pPr>
              <w:pStyle w:val="Compact"/>
              <w:jc w:val="left"/>
            </w:pPr>
            <w:r>
              <w:t xml:space="preserve">0.635 (0.43, 1.4)</w:t>
            </w:r>
          </w:p>
        </w:tc>
      </w:tr>
      <w:tr>
        <w:tc>
          <w:p/>
        </w:tc>
        <w:tc>
          <w:p>
            <w:pPr>
              <w:pStyle w:val="Compact"/>
              <w:jc w:val="left"/>
            </w:pPr>
            <w:r>
              <w:t xml:space="preserve">Chl-a (ug/L)</w:t>
            </w:r>
          </w:p>
        </w:tc>
        <w:tc>
          <w:p>
            <w:pPr>
              <w:pStyle w:val="Compact"/>
              <w:jc w:val="left"/>
            </w:pPr>
            <w:r>
              <w:t xml:space="preserve">41.53**</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5.5 (3, 120)</w:t>
            </w:r>
          </w:p>
        </w:tc>
      </w:tr>
      <w:tr>
        <w:tc>
          <w:p/>
        </w:tc>
        <w:tc>
          <w:p>
            <w:pPr>
              <w:pStyle w:val="Compact"/>
              <w:jc w:val="left"/>
            </w:pPr>
            <w:r>
              <w:t xml:space="preserve">Secchi (m)</w:t>
            </w:r>
          </w:p>
        </w:tc>
        <w:tc>
          <w:p>
            <w:pPr>
              <w:pStyle w:val="Compact"/>
              <w:jc w:val="left"/>
            </w:pPr>
            <w:r>
              <w:t xml:space="preserve">35.74**</w:t>
            </w:r>
          </w:p>
        </w:tc>
        <w:tc>
          <w:p>
            <w:pPr>
              <w:pStyle w:val="Compact"/>
              <w:jc w:val="left"/>
            </w:pPr>
            <w:r>
              <w:t xml:space="preserve">a</w:t>
            </w:r>
          </w:p>
        </w:tc>
        <w:tc>
          <w:p>
            <w:pPr>
              <w:pStyle w:val="Compact"/>
              <w:jc w:val="left"/>
            </w:pPr>
            <w:r>
              <w:t xml:space="preserve">Apr</w:t>
            </w:r>
          </w:p>
        </w:tc>
        <w:tc>
          <w:p>
            <w:pPr>
              <w:pStyle w:val="Compact"/>
              <w:jc w:val="right"/>
            </w:pPr>
            <w:r>
              <w:t xml:space="preserve">117</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left"/>
            </w:pPr>
            <w:r>
              <w:t xml:space="preserve">2.2 (0.7, 3.5)</w:t>
            </w:r>
          </w:p>
        </w:tc>
      </w:tr>
      <w:tr>
        <w:tc>
          <w:p>
            <w:pPr>
              <w:pStyle w:val="Compact"/>
              <w:jc w:val="left"/>
            </w:pPr>
            <w:r>
              <w:t xml:space="preserve">2</w:t>
            </w:r>
          </w:p>
        </w:tc>
        <w:tc>
          <w:p>
            <w:pPr>
              <w:pStyle w:val="Compact"/>
              <w:jc w:val="left"/>
            </w:pPr>
            <w:r>
              <w:t xml:space="preserve">TN (mg/L)</w:t>
            </w:r>
          </w:p>
        </w:tc>
        <w:tc>
          <w:p>
            <w:pPr>
              <w:pStyle w:val="Compact"/>
              <w:jc w:val="left"/>
            </w:pPr>
            <w:r>
              <w:t xml:space="preserve">10.29*</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w:t>
            </w:r>
          </w:p>
        </w:tc>
        <w:tc>
          <w:p>
            <w:pPr>
              <w:pStyle w:val="Compact"/>
              <w:jc w:val="left"/>
            </w:pPr>
            <w:r>
              <w:t xml:space="preserve">0.585 (0.51, 0.66)</w:t>
            </w:r>
          </w:p>
        </w:tc>
      </w:tr>
      <w:tr>
        <w:tc>
          <w:p/>
        </w:tc>
        <w:tc>
          <w:p>
            <w:pPr>
              <w:pStyle w:val="Compact"/>
              <w:jc w:val="left"/>
            </w:pPr>
            <w:r>
              <w:t xml:space="preserve">Chl-a (ug/L)</w:t>
            </w:r>
          </w:p>
        </w:tc>
        <w:tc>
          <w:p>
            <w:pPr>
              <w:pStyle w:val="Compact"/>
              <w:jc w:val="left"/>
            </w:pPr>
            <w:r>
              <w:t xml:space="preserve">15.98**</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pPr>
              <w:pStyle w:val="Compact"/>
              <w:jc w:val="left"/>
            </w:pPr>
            <w:r>
              <w:t xml:space="preserve">Secchi (m)</w:t>
            </w:r>
          </w:p>
        </w:tc>
        <w:tc>
          <w:p>
            <w:pPr>
              <w:pStyle w:val="Compact"/>
              <w:jc w:val="left"/>
            </w:pPr>
            <w:r>
              <w:t xml:space="preserve">1.41</w:t>
            </w:r>
          </w:p>
        </w:tc>
        <w:tc>
          <w:p>
            <w:pPr>
              <w:pStyle w:val="Compact"/>
              <w:jc w:val="left"/>
            </w:pPr>
            <w:r>
              <w:t xml:space="preserve">a</w:t>
            </w:r>
          </w:p>
        </w:tc>
        <w:tc>
          <w:p>
            <w:pPr>
              <w:pStyle w:val="Compact"/>
              <w:jc w:val="left"/>
            </w:pPr>
            <w:r>
              <w:t xml:space="preserve">Apr</w:t>
            </w:r>
          </w:p>
        </w:tc>
        <w:tc>
          <w:p>
            <w:pPr>
              <w:pStyle w:val="Compact"/>
              <w:jc w:val="right"/>
            </w:pPr>
            <w:r>
              <w:t xml:space="preserve">14</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left"/>
            </w:pPr>
            <w:r>
              <w:t xml:space="preserve">1.5 (1.4, 2.2)</w:t>
            </w:r>
          </w:p>
        </w:tc>
      </w:tr>
      <w:tr>
        <w:tc>
          <w:p>
            <w:pPr>
              <w:pStyle w:val="Compact"/>
              <w:jc w:val="left"/>
            </w:pPr>
            <w:r>
              <w:t xml:space="preserve">3</w:t>
            </w:r>
          </w:p>
        </w:tc>
        <w:tc>
          <w:p>
            <w:pPr>
              <w:pStyle w:val="Compact"/>
              <w:jc w:val="left"/>
            </w:pPr>
            <w:r>
              <w:t xml:space="preserve">TN (mg/L)</w:t>
            </w:r>
          </w:p>
        </w:tc>
        <w:tc>
          <w:p>
            <w:pPr>
              <w:pStyle w:val="Compact"/>
              <w:jc w:val="left"/>
            </w:pPr>
            <w:r>
              <w:t xml:space="preserve">5.64</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0.36 (0.34, 0.41)</w:t>
            </w:r>
          </w:p>
        </w:tc>
      </w:tr>
      <w:tr>
        <w:tc>
          <w:p/>
        </w:tc>
        <w:tc>
          <w:p>
            <w:pPr>
              <w:pStyle w:val="Compact"/>
              <w:jc w:val="left"/>
            </w:pPr>
            <w:r>
              <w:t xml:space="preserve">Chl-a (ug/L)</w:t>
            </w:r>
          </w:p>
        </w:tc>
        <w:tc>
          <w:p>
            <w:pPr>
              <w:pStyle w:val="Compact"/>
              <w:jc w:val="left"/>
            </w:pPr>
            <w:r>
              <w:t xml:space="preserve">28.4**</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pPr>
              <w:pStyle w:val="Compact"/>
              <w:jc w:val="left"/>
            </w:pPr>
            <w:r>
              <w:t xml:space="preserve">Secchi (m)</w:t>
            </w:r>
          </w:p>
        </w:tc>
        <w:tc>
          <w:p>
            <w:pPr>
              <w:pStyle w:val="Compact"/>
              <w:jc w:val="left"/>
            </w:pPr>
            <w:r>
              <w:t xml:space="preserve">12.24*</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Probability values were adjusted for the pairwise comparisons using the Bonferroni method in Holm (1979). ** p &lt; 0.005, * p &lt; 0.05, blank is not signif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27.18**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14</w:t>
            </w:r>
          </w:p>
        </w:tc>
        <w:tc>
          <w:p>
            <w:pPr>
              <w:pStyle w:val="Compact"/>
              <w:jc w:val="left"/>
            </w:pPr>
            <w:r>
              <w:t xml:space="preserve">0.121 (0, 0.722)</w:t>
            </w:r>
          </w:p>
        </w:tc>
      </w:tr>
      <w:tr>
        <w:tc>
          <w:p/>
        </w:tc>
        <w:tc>
          <w:p/>
        </w:tc>
        <w:tc>
          <w:p/>
        </w:tc>
        <w:tc>
          <w:p>
            <w:pPr>
              <w:pStyle w:val="Compact"/>
              <w:jc w:val="left"/>
            </w:pPr>
            <w:r>
              <w:t xml:space="preserve">bc</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8</w:t>
            </w:r>
          </w:p>
        </w:tc>
        <w:tc>
          <w:p>
            <w:pPr>
              <w:pStyle w:val="Compact"/>
              <w:jc w:val="left"/>
            </w:pPr>
            <w:r>
              <w:t xml:space="preserve">0.464 (0.222, 0.857)</w:t>
            </w:r>
          </w:p>
        </w:tc>
      </w:tr>
      <w:tr>
        <w:tc>
          <w:p/>
        </w:tc>
        <w:tc>
          <w:p>
            <w:pPr>
              <w:pStyle w:val="Compact"/>
              <w:jc w:val="left"/>
            </w:pPr>
            <w:r>
              <w:t xml:space="preserve">Green</w:t>
            </w:r>
          </w:p>
        </w:tc>
        <w:tc>
          <w:p>
            <w:pPr>
              <w:pStyle w:val="Compact"/>
              <w:jc w:val="left"/>
            </w:pPr>
            <w:r>
              <w:t xml:space="preserve">5.13</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0.083 (0, 0.667)</w:t>
            </w:r>
          </w:p>
        </w:tc>
      </w:tr>
      <w:tr>
        <w:tc>
          <w:p/>
        </w:tc>
        <w:tc>
          <w:p>
            <w:pPr>
              <w:pStyle w:val="Compact"/>
              <w:jc w:val="left"/>
            </w:pPr>
            <w:r>
              <w:t xml:space="preserve">Cyanobacteria</w:t>
            </w:r>
          </w:p>
        </w:tc>
        <w:tc>
          <w:p>
            <w:pPr>
              <w:pStyle w:val="Compact"/>
              <w:jc w:val="left"/>
            </w:pPr>
            <w:r>
              <w:t xml:space="preserve">21.67**</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14</w:t>
            </w:r>
          </w:p>
        </w:tc>
        <w:tc>
          <w:p>
            <w:pPr>
              <w:pStyle w:val="Compact"/>
              <w:jc w:val="left"/>
            </w:pPr>
            <w:r>
              <w:t xml:space="preserve">0.08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8</w:t>
            </w:r>
          </w:p>
        </w:tc>
        <w:tc>
          <w:p>
            <w:pPr>
              <w:pStyle w:val="Compact"/>
              <w:jc w:val="left"/>
            </w:pPr>
            <w:r>
              <w:t xml:space="preserve">0 (0, 0)</w:t>
            </w:r>
          </w:p>
        </w:tc>
      </w:tr>
      <w:tr>
        <w:tc>
          <w:p>
            <w:pPr>
              <w:pStyle w:val="Compact"/>
              <w:jc w:val="left"/>
            </w:pPr>
            <w:r>
              <w:t xml:space="preserve">3</w:t>
            </w:r>
          </w:p>
        </w:tc>
        <w:tc>
          <w:p>
            <w:pPr>
              <w:pStyle w:val="Compact"/>
              <w:jc w:val="left"/>
            </w:pPr>
            <w:r>
              <w:t xml:space="preserve">Red</w:t>
            </w:r>
          </w:p>
        </w:tc>
        <w:tc>
          <w:p>
            <w:pPr>
              <w:pStyle w:val="Compact"/>
              <w:jc w:val="left"/>
            </w:pPr>
            <w:r>
              <w:t xml:space="preserve">18.49**</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pPr>
              <w:pStyle w:val="Compact"/>
              <w:jc w:val="left"/>
            </w:pPr>
            <w:r>
              <w:t xml:space="preserve">Green</w:t>
            </w:r>
          </w:p>
        </w:tc>
        <w:tc>
          <w:p>
            <w:pPr>
              <w:pStyle w:val="Compact"/>
              <w:jc w:val="left"/>
            </w:pPr>
            <w:r>
              <w:t xml:space="preserve">2.27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pPr>
              <w:pStyle w:val="Compact"/>
              <w:jc w:val="left"/>
            </w:pPr>
            <w:r>
              <w:t xml:space="preserve">Cyanobacteria</w:t>
            </w:r>
          </w:p>
        </w:tc>
        <w:tc>
          <w:p>
            <w:pPr>
              <w:pStyle w:val="Compact"/>
              <w:jc w:val="left"/>
            </w:pPr>
            <w:r>
              <w:t xml:space="preserve">8.25*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0.4)</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Probability values were adjusted for the pairwise comparisons using the Bonferroni method in Holm (1979). ** p &lt; 0.005, * p &lt; 0.05, blank is not signif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0.95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0.5 (0, 0.778)</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0.417 (0, 0.833)</w:t>
            </w:r>
          </w:p>
        </w:tc>
      </w:tr>
      <w:tr>
        <w:tc>
          <w:p/>
        </w:tc>
        <w:tc>
          <w:p>
            <w:pPr>
              <w:pStyle w:val="Compact"/>
              <w:jc w:val="left"/>
            </w:pPr>
            <w:r>
              <w:t xml:space="preserve">Halodule wrightii</w:t>
            </w:r>
          </w:p>
        </w:tc>
        <w:tc>
          <w:p>
            <w:pPr>
              <w:pStyle w:val="Compact"/>
              <w:jc w:val="left"/>
            </w:pPr>
            <w:r>
              <w:t xml:space="preserve">3.36</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0.208 (0, 0.941)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0.083 (0, 0.667)</w:t>
            </w:r>
          </w:p>
        </w:tc>
      </w:tr>
      <w:tr>
        <w:tc>
          <w:p/>
        </w:tc>
        <w:tc>
          <w:p>
            <w:pPr>
              <w:pStyle w:val="Compact"/>
              <w:jc w:val="left"/>
            </w:pPr>
            <w:r>
              <w:t xml:space="preserve">Syringodium filiforme</w:t>
            </w:r>
          </w:p>
        </w:tc>
        <w:tc>
          <w:p>
            <w:pPr>
              <w:pStyle w:val="Compact"/>
              <w:jc w:val="left"/>
            </w:pPr>
            <w:r>
              <w:t xml:space="preserve">0.55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0.417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0.29</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0.792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0.617 (0.333, 1)</w:t>
            </w:r>
          </w:p>
        </w:tc>
      </w:tr>
      <w:tr>
        <w:tc>
          <w:p/>
        </w:tc>
        <w:tc>
          <w:p>
            <w:pPr>
              <w:pStyle w:val="Compact"/>
              <w:jc w:val="left"/>
            </w:pPr>
            <w:r>
              <w:t xml:space="preserve">Halodule wrightii</w:t>
            </w:r>
          </w:p>
        </w:tc>
        <w:tc>
          <w:p>
            <w:pPr>
              <w:pStyle w:val="Compact"/>
              <w:jc w:val="left"/>
            </w:pPr>
            <w:r>
              <w:t xml:space="preserve">2.53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0.216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pPr>
              <w:pStyle w:val="Compact"/>
              <w:jc w:val="left"/>
            </w:pPr>
            <w:r>
              <w:t xml:space="preserve">Syringodium filiforme</w:t>
            </w:r>
          </w:p>
        </w:tc>
        <w:tc>
          <w:p>
            <w:pPr>
              <w:pStyle w:val="Compact"/>
              <w:jc w:val="left"/>
            </w:pPr>
            <w:r>
              <w:t xml:space="preserve">1.17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0.167 (0, 0.833)</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bl>
    <w:bookmarkEnd w:id="67"/>
    <w:bookmarkStart w:id="132" w:name="references"/>
    <w:p>
      <w:pPr>
        <w:pStyle w:val="Heading1"/>
      </w:pPr>
      <w:r>
        <w:t xml:space="preserve">References</w:t>
      </w:r>
    </w:p>
    <w:bookmarkStart w:id="131" w:name="refs"/>
    <w:bookmarkStart w:id="68" w:name="ref-Beck21"/>
    <w:p>
      <w:pPr>
        <w:pStyle w:val="Bibliography"/>
      </w:pPr>
      <w:r>
        <w:t xml:space="preserve">Beck, M., Schrandt, M., Wessel, M., Sherwood, E., Raulerson, G., Best, B., 2021. Tbeptools: Data and indicators for the tampa bay estuary program.</w:t>
      </w:r>
    </w:p>
    <w:bookmarkEnd w:id="68"/>
    <w:bookmarkStart w:id="69" w:name="ref-Beck21b"/>
    <w:p>
      <w:pPr>
        <w:pStyle w:val="Bibliography"/>
      </w:pPr>
      <w:r>
        <w:t xml:space="preserve">Beck, M.W., 2021. Ggord: Ordination plots with ggplot2.</w:t>
      </w:r>
    </w:p>
    <w:bookmarkEnd w:id="69"/>
    <w:bookmarkStart w:id="71" w:name="ref-Beck18"/>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70">
        <w:r>
          <w:rPr>
            <w:rStyle w:val="Hyperlink"/>
          </w:rPr>
          <w:t xml:space="preserve">https://doi.org/10.18785/gcr.2901.02</w:t>
        </w:r>
      </w:hyperlink>
    </w:p>
    <w:bookmarkEnd w:id="71"/>
    <w:bookmarkStart w:id="73" w:name="ref-Beck18g"/>
    <w:p>
      <w:pPr>
        <w:pStyle w:val="Bibliography"/>
      </w:pPr>
      <w:r>
        <w:t xml:space="preserve">Beck, M.W., Hagy, J.D., III, Le, C., 2018b. Quantifying seagrass light requirements using an algorithm to spatially resolve depth of colonization. Estuaries and Coasts 41, 592–610.</w:t>
      </w:r>
      <w:r>
        <w:t xml:space="preserve"> </w:t>
      </w:r>
      <w:hyperlink r:id="rId72">
        <w:r>
          <w:rPr>
            <w:rStyle w:val="Hyperlink"/>
          </w:rPr>
          <w:t xml:space="preserve">https://doi.org/10.1007/s12237-017-0287-1</w:t>
        </w:r>
      </w:hyperlink>
    </w:p>
    <w:bookmarkEnd w:id="73"/>
    <w:bookmarkStart w:id="74" w:name="ref-Bryan20"/>
    <w:p>
      <w:pPr>
        <w:pStyle w:val="Bibliography"/>
      </w:pPr>
      <w:r>
        <w:t xml:space="preserve">Bryan, J., 2020. googlesheets4: Access google sheets using the sheets API V4.</w:t>
      </w:r>
    </w:p>
    <w:bookmarkEnd w:id="74"/>
    <w:bookmarkStart w:id="75"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75"/>
    <w:bookmarkStart w:id="77"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76">
        <w:r>
          <w:rPr>
            <w:rStyle w:val="Hyperlink"/>
          </w:rPr>
          <w:t xml:space="preserve">https://doi.org/10.1016/S0265-931X(00)00164-8</w:t>
        </w:r>
      </w:hyperlink>
    </w:p>
    <w:bookmarkEnd w:id="77"/>
    <w:bookmarkStart w:id="78" w:name="ref-DAgostino20"/>
    <w:p>
      <w:pPr>
        <w:pStyle w:val="Bibliography"/>
      </w:pPr>
      <w:r>
        <w:t xml:space="preserve">D’Agostino McGowan, L., Bryan, J., 2020. Googledrive: An interface to google drive.</w:t>
      </w:r>
    </w:p>
    <w:bookmarkEnd w:id="78"/>
    <w:bookmarkStart w:id="7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79"/>
    <w:bookmarkStart w:id="80" w:name="ref-tbep1620"/>
    <w:p>
      <w:pPr>
        <w:pStyle w:val="Bibliography"/>
      </w:pPr>
      <w:r>
        <w:t xml:space="preserve">E.T. Sherwood, G. Raulerson, M. Beck, M. Burke, 2020.</w:t>
      </w:r>
      <w:r>
        <w:t xml:space="preserve"> </w:t>
      </w:r>
      <w:r>
        <w:t xml:space="preserve">Tampa Bay Estuary Program: Quality Management Plan</w:t>
      </w:r>
      <w:r>
        <w:t xml:space="preserve"> </w:t>
      </w:r>
      <w:r>
        <w:t xml:space="preserve">(No. 16-20). Tampa Bay Estuary Program, St. Petersburg, Florida.</w:t>
      </w:r>
    </w:p>
    <w:bookmarkEnd w:id="80"/>
    <w:bookmarkStart w:id="8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81">
        <w:r>
          <w:rPr>
            <w:rStyle w:val="Hyperlink"/>
          </w:rPr>
          <w:t xml:space="preserve">https://doi.org/10.1016/j.marpolbul.2015.10.047</w:t>
        </w:r>
      </w:hyperlink>
    </w:p>
    <w:bookmarkEnd w:id="82"/>
    <w:bookmarkStart w:id="84"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83">
        <w:r>
          <w:rPr>
            <w:rStyle w:val="Hyperlink"/>
          </w:rPr>
          <w:t xml:space="preserve">https://doi.org/10.1016/j.marpolbul.2010.11.017</w:t>
        </w:r>
      </w:hyperlink>
    </w:p>
    <w:bookmarkEnd w:id="84"/>
    <w:bookmarkStart w:id="8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85">
        <w:r>
          <w:rPr>
            <w:rStyle w:val="Hyperlink"/>
          </w:rPr>
          <w:t xml:space="preserve">https://doi.org/10.1007/s00267-005-0079-4</w:t>
        </w:r>
      </w:hyperlink>
    </w:p>
    <w:bookmarkEnd w:id="86"/>
    <w:bookmarkStart w:id="8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87"/>
    <w:bookmarkStart w:id="8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88">
        <w:r>
          <w:rPr>
            <w:rStyle w:val="Hyperlink"/>
          </w:rPr>
          <w:t xml:space="preserve">https://doi.org/10.1016/j.ecss.2014.10.003</w:t>
        </w:r>
      </w:hyperlink>
    </w:p>
    <w:bookmarkEnd w:id="89"/>
    <w:bookmarkStart w:id="9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90"/>
    <w:bookmarkStart w:id="91" w:name="ref-Hollander13"/>
    <w:p>
      <w:pPr>
        <w:pStyle w:val="Bibliography"/>
      </w:pPr>
      <w:r>
        <w:t xml:space="preserve">Hollander, M., Wolfe, D.A., Chicken, E., 2013. Nonparametric statistical methods. John Wiley &amp; Sons.</w:t>
      </w:r>
    </w:p>
    <w:bookmarkEnd w:id="91"/>
    <w:bookmarkStart w:id="92" w:name="ref-Holm79"/>
    <w:p>
      <w:pPr>
        <w:pStyle w:val="Bibliography"/>
      </w:pPr>
      <w:r>
        <w:t xml:space="preserve">Holm, S., 1979. A simple sequentially rejective multiple test procedure. Scandinavian journal of statistics 65–70.</w:t>
      </w:r>
    </w:p>
    <w:bookmarkEnd w:id="92"/>
    <w:bookmarkStart w:id="94"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93">
        <w:r>
          <w:rPr>
            <w:rStyle w:val="Hyperlink"/>
          </w:rPr>
          <w:t xml:space="preserve">https://doi.org/10.4319/lo.2006.51.1_part_2.0364</w:t>
        </w:r>
      </w:hyperlink>
    </w:p>
    <w:bookmarkEnd w:id="94"/>
    <w:bookmarkStart w:id="95"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95"/>
    <w:bookmarkStart w:id="97" w:name="ref-Hudson11"/>
    <w:p>
      <w:pPr>
        <w:pStyle w:val="Bibliography"/>
      </w:pPr>
      <w:r>
        <w:t xml:space="preserve">Hudson-Edwards, K.A., Jamieson, H.E., Lottermoser, B.G., 2011. Mine wastes: Past, present, future. Elements 7, 375–380.</w:t>
      </w:r>
      <w:r>
        <w:t xml:space="preserve"> </w:t>
      </w:r>
      <w:hyperlink r:id="rId96">
        <w:r>
          <w:rPr>
            <w:rStyle w:val="Hyperlink"/>
          </w:rPr>
          <w:t xml:space="preserve">https://doi.org/10.2113/gselements.7.6.375</w:t>
        </w:r>
      </w:hyperlink>
    </w:p>
    <w:bookmarkEnd w:id="97"/>
    <w:bookmarkStart w:id="9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98"/>
    <w:bookmarkStart w:id="99" w:name="ref-Janicki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99"/>
    <w:bookmarkStart w:id="100" w:name="ref-Janicki08"/>
    <w:p>
      <w:pPr>
        <w:pStyle w:val="Bibliography"/>
      </w:pPr>
      <w:r>
        <w:t xml:space="preserve">Janicki Environmental, Inc., 2008. Estimation of nitrogen loading from residential irrigation. Tampa Bay Estuary Program, St. Petersburg, Florida.</w:t>
      </w:r>
    </w:p>
    <w:bookmarkEnd w:id="100"/>
    <w:bookmarkStart w:id="10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01"/>
    <w:bookmarkStart w:id="103" w:name="ref-Le08"/>
    <w:p>
      <w:pPr>
        <w:pStyle w:val="Bibliography"/>
      </w:pPr>
      <w:r>
        <w:t xml:space="preserve">Lê, S., Josse, J., Husson, F., 2008.</w:t>
      </w:r>
      <w:r>
        <w:t xml:space="preserve"> </w:t>
      </w:r>
      <w:r>
        <w:t xml:space="preserve">FactoMineR</w:t>
      </w:r>
      <w:r>
        <w:t xml:space="preserve">: A package for multivariate analysis. Journal of Statistical Software 25, 1–18.</w:t>
      </w:r>
      <w:r>
        <w:t xml:space="preserve"> </w:t>
      </w:r>
      <w:hyperlink r:id="rId102">
        <w:r>
          <w:rPr>
            <w:rStyle w:val="Hyperlink"/>
          </w:rPr>
          <w:t xml:space="preserve">https://doi.org/10.18637/jss.v025.i01</w:t>
        </w:r>
      </w:hyperlink>
    </w:p>
    <w:bookmarkEnd w:id="103"/>
    <w:bookmarkStart w:id="104" w:name="ref-Ohara17"/>
    <w:p>
      <w:pPr>
        <w:pStyle w:val="Bibliography"/>
      </w:pPr>
      <w:r>
        <w:t xml:space="preserve">N. O’Hara, Shafer Consulting, Inc., 2017. Charting the course: The comprehensive conservation and management plan for</w:t>
      </w:r>
      <w:r>
        <w:t xml:space="preserve"> </w:t>
      </w:r>
      <w:r>
        <w:t xml:space="preserve">T</w:t>
      </w:r>
      <w:r>
        <w:t xml:space="preserve">ampa</w:t>
      </w:r>
      <w:r>
        <w:t xml:space="preserve"> </w:t>
      </w:r>
      <w:r>
        <w:t xml:space="preserve">B</w:t>
      </w:r>
      <w:r>
        <w:t xml:space="preserve">ay (No. 10-17). Tampa Bay Estuary Program, St. Petersburg, Florida.</w:t>
      </w:r>
    </w:p>
    <w:bookmarkEnd w:id="104"/>
    <w:bookmarkStart w:id="106" w:name="ref-Nixon95"/>
    <w:p>
      <w:pPr>
        <w:pStyle w:val="Bibliography"/>
      </w:pPr>
      <w:r>
        <w:t xml:space="preserve">Nixon, S.W., 1995. Coastal marine eutrophication: A definition, social causes, and future concerns. Ophelia 41, 199–219.</w:t>
      </w:r>
      <w:r>
        <w:t xml:space="preserve"> </w:t>
      </w:r>
      <w:hyperlink r:id="rId105">
        <w:r>
          <w:rPr>
            <w:rStyle w:val="Hyperlink"/>
          </w:rPr>
          <w:t xml:space="preserve">https://doi.org/10.1080/00785236.1995.10422044</w:t>
        </w:r>
      </w:hyperlink>
    </w:p>
    <w:bookmarkEnd w:id="106"/>
    <w:bookmarkStart w:id="107"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07"/>
    <w:bookmarkStart w:id="10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08">
        <w:r>
          <w:rPr>
            <w:rStyle w:val="Hyperlink"/>
          </w:rPr>
          <w:t xml:space="preserve">https://doi.org/10.32614/RJ-2018-009</w:t>
        </w:r>
      </w:hyperlink>
    </w:p>
    <w:bookmarkEnd w:id="109"/>
    <w:bookmarkStart w:id="11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10">
        <w:r>
          <w:rPr>
            <w:rStyle w:val="Hyperlink"/>
          </w:rPr>
          <w:t xml:space="preserve">https://doi.org/10.1016/j.scitotenv.2016.02.070</w:t>
        </w:r>
      </w:hyperlink>
    </w:p>
    <w:bookmarkEnd w:id="111"/>
    <w:bookmarkStart w:id="11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12">
        <w:r>
          <w:rPr>
            <w:rStyle w:val="Hyperlink"/>
          </w:rPr>
          <w:t xml:space="preserve">https://doi.org/10.1016/j.apgeochem.2010.02.003</w:t>
        </w:r>
      </w:hyperlink>
    </w:p>
    <w:bookmarkEnd w:id="113"/>
    <w:bookmarkStart w:id="115"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14">
        <w:r>
          <w:rPr>
            <w:rStyle w:val="Hyperlink"/>
          </w:rPr>
          <w:t xml:space="preserve">https://doi.org/10.1016/j.atmosenv.2012.12.030</w:t>
        </w:r>
      </w:hyperlink>
    </w:p>
    <w:bookmarkEnd w:id="115"/>
    <w:bookmarkStart w:id="116" w:name="ref-RCT20"/>
    <w:p>
      <w:pPr>
        <w:pStyle w:val="Bibliography"/>
      </w:pPr>
      <w:r>
        <w:t xml:space="preserve">R Core Team, 2020. R: A language and environment for statistical computing, v4.0.3. R Foundation for Statistical Computing, Vienna, Austria.</w:t>
      </w:r>
    </w:p>
    <w:bookmarkEnd w:id="116"/>
    <w:bookmarkStart w:id="11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17">
        <w:r>
          <w:rPr>
            <w:rStyle w:val="Hyperlink"/>
          </w:rPr>
          <w:t xml:space="preserve">https://doi.org/10.1007/s11270-013-1742-7</w:t>
        </w:r>
      </w:hyperlink>
    </w:p>
    <w:bookmarkEnd w:id="118"/>
    <w:bookmarkStart w:id="120"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19">
        <w:r>
          <w:rPr>
            <w:rStyle w:val="Hyperlink"/>
          </w:rPr>
          <w:t xml:space="preserve">https://doi.org/10.1007/s00267-013-0179-5</w:t>
        </w:r>
      </w:hyperlink>
    </w:p>
    <w:bookmarkEnd w:id="120"/>
    <w:bookmarkStart w:id="12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21">
        <w:r>
          <w:rPr>
            <w:rStyle w:val="Hyperlink"/>
          </w:rPr>
          <w:t xml:space="preserve">https://doi.org/10.1353/sgo.2017.0026</w:t>
        </w:r>
      </w:hyperlink>
    </w:p>
    <w:bookmarkEnd w:id="122"/>
    <w:bookmarkStart w:id="123"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23"/>
    <w:bookmarkStart w:id="124" w:name="ref-tbep03a10"/>
    <w:p>
      <w:pPr>
        <w:pStyle w:val="Bibliography"/>
      </w:pPr>
      <w:r>
        <w:t xml:space="preserve">Tampa Bay Nitrogen Management Consortium, 2010.</w:t>
      </w:r>
      <w:r>
        <w:t xml:space="preserve"> </w:t>
      </w:r>
      <w:r>
        <w:t xml:space="preserve">2009 Reasonable Assurance Addendum: Allocation and Assessment Report: Appendix B</w:t>
      </w:r>
      <w:r>
        <w:t xml:space="preserve"> </w:t>
      </w:r>
      <w:r>
        <w:t xml:space="preserve">(No. 03a-10). Tampa Bay Estuary Program, St. Petersburg, Florida.</w:t>
      </w:r>
    </w:p>
    <w:bookmarkEnd w:id="124"/>
    <w:bookmarkStart w:id="126"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25">
        <w:r>
          <w:rPr>
            <w:rStyle w:val="Hyperlink"/>
          </w:rPr>
          <w:t xml:space="preserve">https://doi.org/10.1016/j.jenvman.2009.03.007</w:t>
        </w:r>
      </w:hyperlink>
    </w:p>
    <w:bookmarkEnd w:id="126"/>
    <w:bookmarkStart w:id="128"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27">
        <w:r>
          <w:rPr>
            <w:rStyle w:val="Hyperlink"/>
          </w:rPr>
          <w:t xml:space="preserve">https://doi.org/10.1016/j.marpolbul.2020.111247</w:t>
        </w:r>
      </w:hyperlink>
    </w:p>
    <w:bookmarkEnd w:id="128"/>
    <w:bookmarkStart w:id="13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29">
        <w:r>
          <w:rPr>
            <w:rStyle w:val="Hyperlink"/>
          </w:rPr>
          <w:t xml:space="preserve">https://doi.org/10.21105/joss.01686</w:t>
        </w:r>
      </w:hyperlink>
    </w:p>
    <w:bookmarkEnd w:id="130"/>
    <w:bookmarkEnd w:id="131"/>
    <w:bookmarkEnd w:id="13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2" Target="media/rId62.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56" Target="media/rId56.jpg" /><Relationship Type="http://schemas.openxmlformats.org/officeDocument/2006/relationships/image" Id="rId60" Target="media/rId60.jpg" /><Relationship Type="http://schemas.openxmlformats.org/officeDocument/2006/relationships/image" Id="rId61" Target="media/rId61.jpg" /><Relationship Type="http://schemas.openxmlformats.org/officeDocument/2006/relationships/image" Id="rId57" Target="media/rId57.jpg" /><Relationship Type="http://schemas.openxmlformats.org/officeDocument/2006/relationships/image" Id="rId58" Target="media/rId58.jpg" /><Relationship Type="http://schemas.openxmlformats.org/officeDocument/2006/relationships/image" Id="rId63" Target="media/rId63.jpg" /><Relationship Type="http://schemas.openxmlformats.org/officeDocument/2006/relationships/hyperlink" Id="rId85" Target="https://doi.org/10.1007/s00267-005-0079-4" TargetMode="External" /><Relationship Type="http://schemas.openxmlformats.org/officeDocument/2006/relationships/hyperlink" Id="rId119" Target="https://doi.org/10.1007/s00267-013-0179-5" TargetMode="External" /><Relationship Type="http://schemas.openxmlformats.org/officeDocument/2006/relationships/hyperlink" Id="rId117" Target="https://doi.org/10.1007/s11270-013-1742-7" TargetMode="External" /><Relationship Type="http://schemas.openxmlformats.org/officeDocument/2006/relationships/hyperlink" Id="rId72" Target="https://doi.org/10.1007/s12237-017-0287-1" TargetMode="External" /><Relationship Type="http://schemas.openxmlformats.org/officeDocument/2006/relationships/hyperlink" Id="rId76" Target="https://doi.org/10.1016/S0265-931X(00)00164-8" TargetMode="External" /><Relationship Type="http://schemas.openxmlformats.org/officeDocument/2006/relationships/hyperlink" Id="rId112" Target="https://doi.org/10.1016/j.apgeochem.2010.02.003" TargetMode="External" /><Relationship Type="http://schemas.openxmlformats.org/officeDocument/2006/relationships/hyperlink" Id="rId114" Target="https://doi.org/10.1016/j.atmosenv.2012.12.030" TargetMode="External" /><Relationship Type="http://schemas.openxmlformats.org/officeDocument/2006/relationships/hyperlink" Id="rId88" Target="https://doi.org/10.1016/j.ecss.2014.10.003" TargetMode="External" /><Relationship Type="http://schemas.openxmlformats.org/officeDocument/2006/relationships/hyperlink" Id="rId125" Target="https://doi.org/10.1016/j.jenvman.2009.03.007" TargetMode="External" /><Relationship Type="http://schemas.openxmlformats.org/officeDocument/2006/relationships/hyperlink" Id="rId83" Target="https://doi.org/10.1016/j.marpolbul.2010.11.017" TargetMode="External" /><Relationship Type="http://schemas.openxmlformats.org/officeDocument/2006/relationships/hyperlink" Id="rId81" Target="https://doi.org/10.1016/j.marpolbul.2015.10.047" TargetMode="External" /><Relationship Type="http://schemas.openxmlformats.org/officeDocument/2006/relationships/hyperlink" Id="rId127" Target="https://doi.org/10.1016/j.marpolbul.2020.111247" TargetMode="External" /><Relationship Type="http://schemas.openxmlformats.org/officeDocument/2006/relationships/hyperlink" Id="rId110" Target="https://doi.org/10.1016/j.scitotenv.2016.02.070" TargetMode="External" /><Relationship Type="http://schemas.openxmlformats.org/officeDocument/2006/relationships/hyperlink" Id="rId105" Target="https://doi.org/10.1080/00785236.1995.10422044" TargetMode="External" /><Relationship Type="http://schemas.openxmlformats.org/officeDocument/2006/relationships/hyperlink" Id="rId121" Target="https://doi.org/10.1353/sgo.2017.0026" TargetMode="External" /><Relationship Type="http://schemas.openxmlformats.org/officeDocument/2006/relationships/hyperlink" Id="rId102" Target="https://doi.org/10.18637/jss.v025.i01" TargetMode="External" /><Relationship Type="http://schemas.openxmlformats.org/officeDocument/2006/relationships/hyperlink" Id="rId70" Target="https://doi.org/10.18785/gcr.2901.02" TargetMode="External" /><Relationship Type="http://schemas.openxmlformats.org/officeDocument/2006/relationships/hyperlink" Id="rId129" Target="https://doi.org/10.21105/joss.01686" TargetMode="External" /><Relationship Type="http://schemas.openxmlformats.org/officeDocument/2006/relationships/hyperlink" Id="rId96" Target="https://doi.org/10.2113/gselements.7.6.375" TargetMode="External" /><Relationship Type="http://schemas.openxmlformats.org/officeDocument/2006/relationships/hyperlink" Id="rId108" Target="https://doi.org/10.32614/RJ-2018-009" TargetMode="External" /><Relationship Type="http://schemas.openxmlformats.org/officeDocument/2006/relationships/hyperlink" Id="rId93" Target="https://doi.org/10.4319/lo.2006.51.1_part_2.0364" TargetMode="External" /><Relationship Type="http://schemas.openxmlformats.org/officeDocument/2006/relationships/hyperlink" Id="rId37" Target="https://drive.google.com/drive/u/0/folders/1oBGvjdve-Gpo4Kn3Ovn8a8-yVoP25eec" TargetMode="External" /><Relationship Type="http://schemas.openxmlformats.org/officeDocument/2006/relationships/hyperlink" Id="rId34" Target="https://floridadep.gov/sites/default/files/21-0323.pdf" TargetMode="External" /><Relationship Type="http://schemas.openxmlformats.org/officeDocument/2006/relationships/hyperlink" Id="rId33" Target="https://geodata.dep.state.fl.us/datasets/6277c3b1eeae4a818f8683fc29e6b35b_0/about" TargetMode="External" /><Relationship Type="http://schemas.openxmlformats.org/officeDocument/2006/relationships/hyperlink" Id="rId39" Target="https://habsos.noaa.gov/" TargetMode="External" /><Relationship Type="http://schemas.openxmlformats.org/officeDocument/2006/relationships/hyperlink" Id="rId65" Target="https://public.myfwc.com/FWRI/FishKillReport/" TargetMode="External" /><Relationship Type="http://schemas.openxmlformats.org/officeDocument/2006/relationships/hyperlink" Id="rId40" Target="https://public.myfwc.com/fwri/FishKillReport/searchresults.aspx" TargetMode="External" /><Relationship Type="http://schemas.openxmlformats.org/officeDocument/2006/relationships/hyperlink" Id="rId38" Target="https://tbep.org/our-work/boards-committees/technical-advisory-committee/#ramp" TargetMode="External" /><Relationship Type="http://schemas.openxmlformats.org/officeDocument/2006/relationships/hyperlink" Id="rId42" Target="https://wateratlas.usf.edu/" TargetMode="External" /><Relationship Type="http://schemas.openxmlformats.org/officeDocument/2006/relationships/hyperlink" Id="rId64" Target="https://www.ncei.noaa.gov/maps/habsos" TargetMode="External" /><Relationship Type="http://schemas.openxmlformats.org/officeDocument/2006/relationships/hyperlink" Id="rId52" Target="https://www.wrri.msstate.edu/pdf/2016dillon_finalreport.pdf" TargetMode="External" /><Relationship Type="http://schemas.openxmlformats.org/officeDocument/2006/relationships/hyperlink" Id="rId26" Target="mailto:Mark.Rains@floridadep.gov" TargetMode="External" /><Relationship Type="http://schemas.openxmlformats.org/officeDocument/2006/relationships/hyperlink" Id="rId30" Target="mailto:dave@sarasotabay.org" TargetMode="External" /><Relationship Type="http://schemas.openxmlformats.org/officeDocument/2006/relationships/hyperlink" Id="rId22" Target="mailto:edontis@co.pinellas.fl.us" TargetMode="External" /><Relationship Type="http://schemas.openxmlformats.org/officeDocument/2006/relationships/hyperlink" Id="rId25" Target="mailto:elise.morrison@essie.ufl.edu" TargetMode="External" /><Relationship Type="http://schemas.openxmlformats.org/officeDocument/2006/relationships/hyperlink" Id="rId29" Target="mailto:esherwood@tbep.org" TargetMode="External" /><Relationship Type="http://schemas.openxmlformats.org/officeDocument/2006/relationships/hyperlink" Id="rId27" Target="mailto:graulerson@tbep.org" TargetMode="External" /><Relationship Type="http://schemas.openxmlformats.org/officeDocument/2006/relationships/hyperlink" Id="rId23" Target="mailto:jlewis@tbep.org" TargetMode="External" /><Relationship Type="http://schemas.openxmlformats.org/officeDocument/2006/relationships/hyperlink" Id="rId31" Target="mailto:jwhalen@tbep.org" TargetMode="External" /><Relationship Type="http://schemas.openxmlformats.org/officeDocument/2006/relationships/hyperlink" Id="rId20" Target="mailto:mbeck@tbep.org" TargetMode="External" /><Relationship Type="http://schemas.openxmlformats.org/officeDocument/2006/relationships/hyperlink" Id="rId21" Target="mailto:mburke@tbep.org" TargetMode="External" /><Relationship Type="http://schemas.openxmlformats.org/officeDocument/2006/relationships/hyperlink" Id="rId24" Target="mailto:miles.medina@ufl.edu" TargetMode="External" /><Relationship Type="http://schemas.openxmlformats.org/officeDocument/2006/relationships/hyperlink" Id="rId28" Target="mailto:sscolar@tbep.org" TargetMode="External" /></Relationships>
</file>

<file path=word/_rels/footnotes.xml.rels><?xml version="1.0" encoding="UTF-8"?>
<Relationships xmlns="http://schemas.openxmlformats.org/package/2006/relationships"><Relationship Type="http://schemas.openxmlformats.org/officeDocument/2006/relationships/hyperlink" Id="rId85" Target="https://doi.org/10.1007/s00267-005-0079-4" TargetMode="External" /><Relationship Type="http://schemas.openxmlformats.org/officeDocument/2006/relationships/hyperlink" Id="rId119" Target="https://doi.org/10.1007/s00267-013-0179-5" TargetMode="External" /><Relationship Type="http://schemas.openxmlformats.org/officeDocument/2006/relationships/hyperlink" Id="rId117" Target="https://doi.org/10.1007/s11270-013-1742-7" TargetMode="External" /><Relationship Type="http://schemas.openxmlformats.org/officeDocument/2006/relationships/hyperlink" Id="rId72" Target="https://doi.org/10.1007/s12237-017-0287-1" TargetMode="External" /><Relationship Type="http://schemas.openxmlformats.org/officeDocument/2006/relationships/hyperlink" Id="rId76" Target="https://doi.org/10.1016/S0265-931X(00)00164-8" TargetMode="External" /><Relationship Type="http://schemas.openxmlformats.org/officeDocument/2006/relationships/hyperlink" Id="rId112" Target="https://doi.org/10.1016/j.apgeochem.2010.02.003" TargetMode="External" /><Relationship Type="http://schemas.openxmlformats.org/officeDocument/2006/relationships/hyperlink" Id="rId114" Target="https://doi.org/10.1016/j.atmosenv.2012.12.030" TargetMode="External" /><Relationship Type="http://schemas.openxmlformats.org/officeDocument/2006/relationships/hyperlink" Id="rId88" Target="https://doi.org/10.1016/j.ecss.2014.10.003" TargetMode="External" /><Relationship Type="http://schemas.openxmlformats.org/officeDocument/2006/relationships/hyperlink" Id="rId125" Target="https://doi.org/10.1016/j.jenvman.2009.03.007" TargetMode="External" /><Relationship Type="http://schemas.openxmlformats.org/officeDocument/2006/relationships/hyperlink" Id="rId83" Target="https://doi.org/10.1016/j.marpolbul.2010.11.017" TargetMode="External" /><Relationship Type="http://schemas.openxmlformats.org/officeDocument/2006/relationships/hyperlink" Id="rId81" Target="https://doi.org/10.1016/j.marpolbul.2015.10.047" TargetMode="External" /><Relationship Type="http://schemas.openxmlformats.org/officeDocument/2006/relationships/hyperlink" Id="rId127" Target="https://doi.org/10.1016/j.marpolbul.2020.111247" TargetMode="External" /><Relationship Type="http://schemas.openxmlformats.org/officeDocument/2006/relationships/hyperlink" Id="rId110" Target="https://doi.org/10.1016/j.scitotenv.2016.02.070" TargetMode="External" /><Relationship Type="http://schemas.openxmlformats.org/officeDocument/2006/relationships/hyperlink" Id="rId105" Target="https://doi.org/10.1080/00785236.1995.10422044" TargetMode="External" /><Relationship Type="http://schemas.openxmlformats.org/officeDocument/2006/relationships/hyperlink" Id="rId121" Target="https://doi.org/10.1353/sgo.2017.0026" TargetMode="External" /><Relationship Type="http://schemas.openxmlformats.org/officeDocument/2006/relationships/hyperlink" Id="rId102" Target="https://doi.org/10.18637/jss.v025.i01" TargetMode="External" /><Relationship Type="http://schemas.openxmlformats.org/officeDocument/2006/relationships/hyperlink" Id="rId70" Target="https://doi.org/10.18785/gcr.2901.02" TargetMode="External" /><Relationship Type="http://schemas.openxmlformats.org/officeDocument/2006/relationships/hyperlink" Id="rId129" Target="https://doi.org/10.21105/joss.01686" TargetMode="External" /><Relationship Type="http://schemas.openxmlformats.org/officeDocument/2006/relationships/hyperlink" Id="rId96" Target="https://doi.org/10.2113/gselements.7.6.375" TargetMode="External" /><Relationship Type="http://schemas.openxmlformats.org/officeDocument/2006/relationships/hyperlink" Id="rId108" Target="https://doi.org/10.32614/RJ-2018-009" TargetMode="External" /><Relationship Type="http://schemas.openxmlformats.org/officeDocument/2006/relationships/hyperlink" Id="rId93" Target="https://doi.org/10.4319/lo.2006.51.1_part_2.0364" TargetMode="External" /><Relationship Type="http://schemas.openxmlformats.org/officeDocument/2006/relationships/hyperlink" Id="rId37" Target="https://drive.google.com/drive/u/0/folders/1oBGvjdve-Gpo4Kn3Ovn8a8-yVoP25eec" TargetMode="External" /><Relationship Type="http://schemas.openxmlformats.org/officeDocument/2006/relationships/hyperlink" Id="rId34" Target="https://floridadep.gov/sites/default/files/21-0323.pdf" TargetMode="External" /><Relationship Type="http://schemas.openxmlformats.org/officeDocument/2006/relationships/hyperlink" Id="rId33" Target="https://geodata.dep.state.fl.us/datasets/6277c3b1eeae4a818f8683fc29e6b35b_0/about" TargetMode="External" /><Relationship Type="http://schemas.openxmlformats.org/officeDocument/2006/relationships/hyperlink" Id="rId39" Target="https://habsos.noaa.gov/" TargetMode="External" /><Relationship Type="http://schemas.openxmlformats.org/officeDocument/2006/relationships/hyperlink" Id="rId65" Target="https://public.myfwc.com/FWRI/FishKillReport/" TargetMode="External" /><Relationship Type="http://schemas.openxmlformats.org/officeDocument/2006/relationships/hyperlink" Id="rId40" Target="https://public.myfwc.com/fwri/FishKillReport/searchresults.aspx" TargetMode="External" /><Relationship Type="http://schemas.openxmlformats.org/officeDocument/2006/relationships/hyperlink" Id="rId38" Target="https://tbep.org/our-work/boards-committees/technical-advisory-committee/#ramp" TargetMode="External" /><Relationship Type="http://schemas.openxmlformats.org/officeDocument/2006/relationships/hyperlink" Id="rId42" Target="https://wateratlas.usf.edu/" TargetMode="External" /><Relationship Type="http://schemas.openxmlformats.org/officeDocument/2006/relationships/hyperlink" Id="rId64" Target="https://www.ncei.noaa.gov/maps/habsos" TargetMode="External" /><Relationship Type="http://schemas.openxmlformats.org/officeDocument/2006/relationships/hyperlink" Id="rId52" Target="https://www.wrri.msstate.edu/pdf/2016dillon_finalreport.pdf" TargetMode="External" /><Relationship Type="http://schemas.openxmlformats.org/officeDocument/2006/relationships/hyperlink" Id="rId26" Target="mailto:Mark.Rains@floridadep.gov" TargetMode="External" /><Relationship Type="http://schemas.openxmlformats.org/officeDocument/2006/relationships/hyperlink" Id="rId30" Target="mailto:dave@sarasotabay.org" TargetMode="External" /><Relationship Type="http://schemas.openxmlformats.org/officeDocument/2006/relationships/hyperlink" Id="rId22" Target="mailto:edontis@co.pinellas.fl.us" TargetMode="External" /><Relationship Type="http://schemas.openxmlformats.org/officeDocument/2006/relationships/hyperlink" Id="rId25" Target="mailto:elise.morrison@essie.ufl.edu" TargetMode="External" /><Relationship Type="http://schemas.openxmlformats.org/officeDocument/2006/relationships/hyperlink" Id="rId29" Target="mailto:esherwood@tbep.org" TargetMode="External" /><Relationship Type="http://schemas.openxmlformats.org/officeDocument/2006/relationships/hyperlink" Id="rId27" Target="mailto:graulerson@tbep.org" TargetMode="External" /><Relationship Type="http://schemas.openxmlformats.org/officeDocument/2006/relationships/hyperlink" Id="rId23" Target="mailto:jlewis@tbep.org" TargetMode="External" /><Relationship Type="http://schemas.openxmlformats.org/officeDocument/2006/relationships/hyperlink" Id="rId31" Target="mailto:jwhalen@tbep.org" TargetMode="External" /><Relationship Type="http://schemas.openxmlformats.org/officeDocument/2006/relationships/hyperlink" Id="rId20" Target="mailto:mbeck@tbep.org" TargetMode="External" /><Relationship Type="http://schemas.openxmlformats.org/officeDocument/2006/relationships/hyperlink" Id="rId21" Target="mailto:mburke@tbep.org" TargetMode="External" /><Relationship Type="http://schemas.openxmlformats.org/officeDocument/2006/relationships/hyperlink" Id="rId24" Target="mailto:miles.medina@ufl.edu" TargetMode="External" /><Relationship Type="http://schemas.openxmlformats.org/officeDocument/2006/relationships/hyperlink" Id="rId28" Target="mailto:sscolar@tbe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Maya C. Burke (mburke@tbep.org), Emma E. Dontis (edontis@co.pinellas.fl.us), Jessica Lewis (jlewis@tbep.org), Miles Medina (miles.medina@ufl.edu), Elise Morrison (elise.morrison@essie.ufl.edu), Mark Rains (Mark.Rains@floridadep.gov), Gary E. Raulerson (graulerson@tbep.org), Sheila Scolaro (sscolar@tbep.org), Ed T. Sherwood (esherwood@tbep.org), David Tomasko (dave@sarasotabay.org), Joe Whalen (jwhalen@tbep.org)</dc:creator>
  <cp:keywords/>
  <dcterms:created xsi:type="dcterms:W3CDTF">2021-08-29T18:49:50Z</dcterms:created>
  <dcterms:modified xsi:type="dcterms:W3CDTF">2021-08-29T18:49:50Z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